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6CB8" w14:textId="77777777" w:rsidR="004F4F17" w:rsidRDefault="004F4F17"/>
    <w:tbl>
      <w:tblPr>
        <w:tblW w:w="0" w:type="auto"/>
        <w:tblLook w:val="01E0" w:firstRow="1" w:lastRow="1" w:firstColumn="1" w:lastColumn="1" w:noHBand="0" w:noVBand="0"/>
      </w:tblPr>
      <w:tblGrid>
        <w:gridCol w:w="4324"/>
        <w:gridCol w:w="4316"/>
      </w:tblGrid>
      <w:tr w:rsidR="00824EB9" w:rsidRPr="006C6D69" w14:paraId="36C41D4D" w14:textId="77777777" w:rsidTr="004F4F17">
        <w:tc>
          <w:tcPr>
            <w:tcW w:w="4324" w:type="dxa"/>
          </w:tcPr>
          <w:p w14:paraId="1220E57E" w14:textId="77777777" w:rsidR="00E143DE" w:rsidRPr="006C6D69" w:rsidRDefault="00E143DE" w:rsidP="00224467">
            <w:r w:rsidRPr="006C6D69">
              <w:t xml:space="preserve">Droit constitutionnel </w:t>
            </w:r>
          </w:p>
          <w:p w14:paraId="1310BD30" w14:textId="77777777" w:rsidR="00E143DE" w:rsidRPr="006C6D69" w:rsidRDefault="00E143DE" w:rsidP="00224467">
            <w:r w:rsidRPr="006C6D69">
              <w:t>PUB2-101-D2-003</w:t>
            </w:r>
          </w:p>
          <w:p w14:paraId="04368693" w14:textId="77777777" w:rsidR="00E143DE" w:rsidRPr="006C6D69" w:rsidRDefault="00E143DE" w:rsidP="00224467"/>
        </w:tc>
        <w:tc>
          <w:tcPr>
            <w:tcW w:w="4316" w:type="dxa"/>
          </w:tcPr>
          <w:p w14:paraId="394D066C" w14:textId="77777777" w:rsidR="008F41B5" w:rsidRPr="006C6D69" w:rsidRDefault="008F41B5" w:rsidP="00224467">
            <w:pPr>
              <w:jc w:val="right"/>
            </w:pPr>
            <w:r w:rsidRPr="006C6D69">
              <w:t xml:space="preserve">Naomi </w:t>
            </w:r>
            <w:proofErr w:type="spellStart"/>
            <w:r w:rsidRPr="006C6D69">
              <w:t>Barandereka</w:t>
            </w:r>
            <w:proofErr w:type="spellEnd"/>
          </w:p>
          <w:p w14:paraId="3AD5685B" w14:textId="5C954738" w:rsidR="00E143DE" w:rsidRPr="006C6D69" w:rsidRDefault="008F41B5" w:rsidP="00224467">
            <w:pPr>
              <w:jc w:val="right"/>
            </w:pPr>
            <w:r w:rsidRPr="006C6D69">
              <w:t>Amélie Racine</w:t>
            </w:r>
          </w:p>
          <w:p w14:paraId="54CCC018" w14:textId="77777777" w:rsidR="008F41B5" w:rsidRPr="006C6D69" w:rsidRDefault="008F41B5" w:rsidP="00224467">
            <w:pPr>
              <w:jc w:val="right"/>
            </w:pPr>
            <w:r w:rsidRPr="006C6D69">
              <w:t>Camille Rivard</w:t>
            </w:r>
          </w:p>
          <w:p w14:paraId="61DD6ED9" w14:textId="788542E8" w:rsidR="008F41B5" w:rsidRPr="006C6D69" w:rsidRDefault="008F41B5" w:rsidP="00224467">
            <w:pPr>
              <w:jc w:val="right"/>
            </w:pPr>
            <w:r w:rsidRPr="006C6D69">
              <w:t>Marie-Denise Vane</w:t>
            </w:r>
          </w:p>
          <w:p w14:paraId="28113251" w14:textId="2B64BCC3" w:rsidR="00E143DE" w:rsidRPr="006C6D69" w:rsidRDefault="00E143DE" w:rsidP="00224467">
            <w:pPr>
              <w:jc w:val="right"/>
            </w:pPr>
          </w:p>
        </w:tc>
      </w:tr>
    </w:tbl>
    <w:p w14:paraId="1CA4DE94" w14:textId="06F27186" w:rsidR="00E143DE" w:rsidRPr="006C6D69" w:rsidRDefault="00E143DE" w:rsidP="00E143DE">
      <w:r w:rsidRPr="006C6D69">
        <w:t xml:space="preserve">                                                                                                                                 </w:t>
      </w:r>
    </w:p>
    <w:p w14:paraId="7BFB91CE" w14:textId="77777777" w:rsidR="00E143DE" w:rsidRPr="006C6D69" w:rsidRDefault="00E143DE" w:rsidP="00E143DE">
      <w:r w:rsidRPr="006C6D69">
        <w:t xml:space="preserve">                              </w:t>
      </w:r>
      <w:r w:rsidRPr="006C6D69">
        <w:rPr>
          <w:b/>
        </w:rPr>
        <w:t xml:space="preserve">                                              </w:t>
      </w:r>
      <w:r w:rsidRPr="006C6D69">
        <w:t xml:space="preserve">                                                                                        </w:t>
      </w:r>
    </w:p>
    <w:p w14:paraId="12C3BE0A" w14:textId="77777777" w:rsidR="006C6D69" w:rsidRDefault="006C6D69" w:rsidP="00E143DE">
      <w:pPr>
        <w:jc w:val="center"/>
      </w:pPr>
    </w:p>
    <w:p w14:paraId="54D1A634" w14:textId="77777777" w:rsidR="006C6D69" w:rsidRDefault="006C6D69" w:rsidP="00E143DE">
      <w:pPr>
        <w:jc w:val="center"/>
      </w:pPr>
    </w:p>
    <w:p w14:paraId="09E1FC53" w14:textId="77777777" w:rsidR="006C6D69" w:rsidRDefault="006C6D69" w:rsidP="00E143DE">
      <w:pPr>
        <w:jc w:val="center"/>
      </w:pPr>
    </w:p>
    <w:p w14:paraId="7D1574F5" w14:textId="77777777" w:rsidR="00E143DE" w:rsidRPr="006C6D69" w:rsidRDefault="00E143DE" w:rsidP="00E143DE">
      <w:pPr>
        <w:jc w:val="center"/>
      </w:pPr>
      <w:r w:rsidRPr="006C6D69">
        <w:t xml:space="preserve">                                            </w:t>
      </w:r>
    </w:p>
    <w:p w14:paraId="24B3DCF4" w14:textId="77777777" w:rsidR="002A42EF" w:rsidRDefault="002A42EF" w:rsidP="002A42EF">
      <w:pPr>
        <w:rPr>
          <w:color w:val="FF0000"/>
        </w:rPr>
      </w:pPr>
    </w:p>
    <w:p w14:paraId="3982E982" w14:textId="77777777" w:rsidR="006C6D69" w:rsidRDefault="006C6D69" w:rsidP="002A42EF">
      <w:pPr>
        <w:rPr>
          <w:color w:val="FF0000"/>
        </w:rPr>
      </w:pPr>
    </w:p>
    <w:p w14:paraId="6E44E9E1" w14:textId="77777777" w:rsidR="006C6D69" w:rsidRPr="006C6D69" w:rsidRDefault="006C6D69" w:rsidP="002A42EF">
      <w:pPr>
        <w:rPr>
          <w:color w:val="FF0000"/>
        </w:rPr>
      </w:pPr>
    </w:p>
    <w:p w14:paraId="2330410D" w14:textId="25CE6A03" w:rsidR="002A42EF" w:rsidRPr="00BB6EE1" w:rsidRDefault="002A42EF" w:rsidP="002A42EF">
      <w:pPr>
        <w:jc w:val="center"/>
        <w:rPr>
          <w:b/>
          <w:color w:val="000000" w:themeColor="text1"/>
        </w:rPr>
      </w:pPr>
      <w:r w:rsidRPr="00BB6EE1">
        <w:rPr>
          <w:b/>
          <w:color w:val="000000" w:themeColor="text1"/>
        </w:rPr>
        <w:t>Mémoire pour l’Assemblée constituante : CONSTITUONS !</w:t>
      </w:r>
    </w:p>
    <w:p w14:paraId="34877394" w14:textId="0C1F19F8" w:rsidR="00E143DE" w:rsidRPr="0070005E" w:rsidRDefault="0070005E" w:rsidP="002A42EF">
      <w:pPr>
        <w:jc w:val="center"/>
        <w:rPr>
          <w:color w:val="000000" w:themeColor="text1"/>
        </w:rPr>
      </w:pPr>
      <w:r w:rsidRPr="0070005E">
        <w:rPr>
          <w:color w:val="000000" w:themeColor="text1"/>
        </w:rPr>
        <w:t>La place des</w:t>
      </w:r>
      <w:r w:rsidR="00A3231A" w:rsidRPr="0070005E">
        <w:rPr>
          <w:color w:val="000000" w:themeColor="text1"/>
        </w:rPr>
        <w:t xml:space="preserve"> peuples autochtones </w:t>
      </w:r>
      <w:r>
        <w:rPr>
          <w:color w:val="000000" w:themeColor="text1"/>
        </w:rPr>
        <w:t>au sein du</w:t>
      </w:r>
      <w:r w:rsidR="00A3231A" w:rsidRPr="0070005E">
        <w:rPr>
          <w:color w:val="000000" w:themeColor="text1"/>
        </w:rPr>
        <w:t xml:space="preserve"> système judiciaire québécois</w:t>
      </w:r>
    </w:p>
    <w:p w14:paraId="4B69C144" w14:textId="77777777" w:rsidR="00E143DE" w:rsidRPr="006C6D69" w:rsidRDefault="00E143DE" w:rsidP="00E143DE">
      <w:pPr>
        <w:jc w:val="center"/>
      </w:pPr>
    </w:p>
    <w:p w14:paraId="6D49F86B" w14:textId="77777777" w:rsidR="004E336C" w:rsidRDefault="004E336C" w:rsidP="00E143DE">
      <w:pPr>
        <w:jc w:val="center"/>
      </w:pPr>
    </w:p>
    <w:p w14:paraId="3D99BF70" w14:textId="77777777" w:rsidR="006C6D69" w:rsidRDefault="006C6D69" w:rsidP="00E143DE">
      <w:pPr>
        <w:jc w:val="center"/>
      </w:pPr>
    </w:p>
    <w:p w14:paraId="7A5E3FD9" w14:textId="77777777" w:rsidR="006C6D69" w:rsidRDefault="006C6D69" w:rsidP="00E143DE">
      <w:pPr>
        <w:jc w:val="center"/>
      </w:pPr>
    </w:p>
    <w:p w14:paraId="0CC46D35" w14:textId="77777777" w:rsidR="006C6D69" w:rsidRDefault="006C6D69" w:rsidP="00E143DE">
      <w:pPr>
        <w:jc w:val="center"/>
      </w:pPr>
    </w:p>
    <w:p w14:paraId="669E4A04" w14:textId="77777777" w:rsidR="006C6D69" w:rsidRDefault="006C6D69" w:rsidP="00E143DE">
      <w:pPr>
        <w:jc w:val="center"/>
      </w:pPr>
    </w:p>
    <w:p w14:paraId="618A6B65" w14:textId="77777777" w:rsidR="006C6D69" w:rsidRDefault="006C6D69" w:rsidP="00E143DE">
      <w:pPr>
        <w:jc w:val="center"/>
      </w:pPr>
    </w:p>
    <w:p w14:paraId="1646E9C5" w14:textId="77777777" w:rsidR="006C6D69" w:rsidRPr="006C6D69" w:rsidRDefault="006C6D69" w:rsidP="00E143DE">
      <w:pPr>
        <w:jc w:val="center"/>
      </w:pPr>
    </w:p>
    <w:p w14:paraId="33283900" w14:textId="6AC024BF" w:rsidR="00E143DE" w:rsidRPr="006C6D69" w:rsidRDefault="00E143DE" w:rsidP="00E143DE">
      <w:pPr>
        <w:jc w:val="center"/>
      </w:pPr>
      <w:r w:rsidRPr="006C6D69">
        <w:t xml:space="preserve">Prof. </w:t>
      </w:r>
      <w:r w:rsidR="008F41B5" w:rsidRPr="006C6D69">
        <w:t>Johanne Poirier</w:t>
      </w:r>
    </w:p>
    <w:p w14:paraId="291F9309" w14:textId="59CD4B84" w:rsidR="00E143DE" w:rsidRPr="006C6D69" w:rsidRDefault="006E237D" w:rsidP="00E143DE">
      <w:pPr>
        <w:jc w:val="center"/>
      </w:pPr>
      <w:r>
        <w:t>Faculté de droit de McGill</w:t>
      </w:r>
    </w:p>
    <w:p w14:paraId="3B589889" w14:textId="77777777" w:rsidR="00E143DE" w:rsidRPr="006C6D69" w:rsidRDefault="00E143DE" w:rsidP="00E143DE">
      <w:pPr>
        <w:jc w:val="center"/>
      </w:pPr>
    </w:p>
    <w:p w14:paraId="50E0988F" w14:textId="77777777" w:rsidR="00E143DE" w:rsidRPr="006C6D69" w:rsidRDefault="00E143DE" w:rsidP="00E143DE">
      <w:pPr>
        <w:jc w:val="center"/>
      </w:pPr>
    </w:p>
    <w:p w14:paraId="53498927" w14:textId="77777777" w:rsidR="00E143DE" w:rsidRDefault="00E143DE" w:rsidP="00E143DE">
      <w:pPr>
        <w:jc w:val="center"/>
      </w:pPr>
    </w:p>
    <w:p w14:paraId="64CD4BC8" w14:textId="77777777" w:rsidR="006C6D69" w:rsidRDefault="006C6D69" w:rsidP="00E143DE">
      <w:pPr>
        <w:jc w:val="center"/>
      </w:pPr>
    </w:p>
    <w:p w14:paraId="32E118FD" w14:textId="77777777" w:rsidR="006C6D69" w:rsidRDefault="006C6D69" w:rsidP="00E143DE">
      <w:pPr>
        <w:jc w:val="center"/>
      </w:pPr>
    </w:p>
    <w:p w14:paraId="008879E1" w14:textId="77777777" w:rsidR="006C6D69" w:rsidRDefault="006C6D69" w:rsidP="00E143DE">
      <w:pPr>
        <w:jc w:val="center"/>
      </w:pPr>
    </w:p>
    <w:p w14:paraId="0EB869A9" w14:textId="77777777" w:rsidR="006C6D69" w:rsidRPr="006C6D69" w:rsidRDefault="006C6D69" w:rsidP="00E143DE">
      <w:pPr>
        <w:jc w:val="center"/>
      </w:pPr>
    </w:p>
    <w:p w14:paraId="471F89E4" w14:textId="71BCDD04" w:rsidR="00E143DE" w:rsidRPr="00734443" w:rsidRDefault="00734443" w:rsidP="00E143DE">
      <w:pPr>
        <w:jc w:val="center"/>
        <w:rPr>
          <w:color w:val="000000" w:themeColor="text1"/>
        </w:rPr>
      </w:pPr>
      <w:r w:rsidRPr="00734443">
        <w:rPr>
          <w:color w:val="000000" w:themeColor="text1"/>
        </w:rPr>
        <w:t>253</w:t>
      </w:r>
      <w:r w:rsidR="00BC42C6">
        <w:rPr>
          <w:color w:val="000000" w:themeColor="text1"/>
        </w:rPr>
        <w:t>5</w:t>
      </w:r>
      <w:r w:rsidRPr="00734443">
        <w:rPr>
          <w:color w:val="000000" w:themeColor="text1"/>
        </w:rPr>
        <w:t xml:space="preserve"> mots</w:t>
      </w:r>
    </w:p>
    <w:p w14:paraId="1FF9B8D0" w14:textId="77777777" w:rsidR="00E143DE" w:rsidRPr="006C6D69" w:rsidRDefault="00E143DE" w:rsidP="00E143DE">
      <w:pPr>
        <w:jc w:val="center"/>
      </w:pPr>
    </w:p>
    <w:p w14:paraId="3C8911BD" w14:textId="77777777" w:rsidR="00E143DE" w:rsidRDefault="00E143DE" w:rsidP="00E143DE">
      <w:pPr>
        <w:jc w:val="center"/>
        <w:rPr>
          <w:i/>
        </w:rPr>
      </w:pPr>
    </w:p>
    <w:p w14:paraId="53BA1F5C" w14:textId="77777777" w:rsidR="006C6D69" w:rsidRDefault="006C6D69" w:rsidP="00E143DE">
      <w:pPr>
        <w:jc w:val="center"/>
        <w:rPr>
          <w:i/>
        </w:rPr>
      </w:pPr>
    </w:p>
    <w:p w14:paraId="2651DCC9" w14:textId="77777777" w:rsidR="006C6D69" w:rsidRDefault="006C6D69" w:rsidP="00E143DE">
      <w:pPr>
        <w:jc w:val="center"/>
        <w:rPr>
          <w:i/>
        </w:rPr>
      </w:pPr>
    </w:p>
    <w:p w14:paraId="2D8FCA69" w14:textId="77777777" w:rsidR="006C6D69" w:rsidRDefault="006C6D69" w:rsidP="00E143DE">
      <w:pPr>
        <w:jc w:val="center"/>
        <w:rPr>
          <w:i/>
        </w:rPr>
      </w:pPr>
    </w:p>
    <w:p w14:paraId="0054EB40" w14:textId="77777777" w:rsidR="006C6D69" w:rsidRPr="006C6D69" w:rsidRDefault="006C6D69" w:rsidP="00E143DE">
      <w:pPr>
        <w:jc w:val="center"/>
        <w:rPr>
          <w:i/>
        </w:rPr>
      </w:pPr>
    </w:p>
    <w:p w14:paraId="3E2AF91B" w14:textId="77777777" w:rsidR="00D7017D" w:rsidRPr="006C6D69" w:rsidRDefault="00D7017D" w:rsidP="00E143DE">
      <w:pPr>
        <w:jc w:val="center"/>
        <w:rPr>
          <w:i/>
        </w:rPr>
      </w:pPr>
    </w:p>
    <w:p w14:paraId="11A35E3F" w14:textId="77777777" w:rsidR="00D7017D" w:rsidRPr="006C6D69" w:rsidRDefault="00D7017D" w:rsidP="00E143DE">
      <w:pPr>
        <w:jc w:val="center"/>
      </w:pPr>
    </w:p>
    <w:p w14:paraId="717A4651" w14:textId="77777777" w:rsidR="00E143DE" w:rsidRPr="006C6D69" w:rsidRDefault="00E143DE" w:rsidP="00E143DE">
      <w:pPr>
        <w:jc w:val="center"/>
      </w:pPr>
    </w:p>
    <w:p w14:paraId="7AE87647" w14:textId="77777777" w:rsidR="00E143DE" w:rsidRPr="006C6D69" w:rsidRDefault="00E143DE" w:rsidP="00E143DE">
      <w:pPr>
        <w:jc w:val="center"/>
      </w:pPr>
    </w:p>
    <w:p w14:paraId="4E5209DF" w14:textId="47F64CF8" w:rsidR="006C6D69" w:rsidRDefault="00D7017D" w:rsidP="00A3231A">
      <w:pPr>
        <w:jc w:val="center"/>
      </w:pPr>
      <w:r w:rsidRPr="006C6D69">
        <w:t>11 février 2019</w:t>
      </w:r>
    </w:p>
    <w:p w14:paraId="11B7587E" w14:textId="6E98BB38" w:rsidR="00CD31EF" w:rsidRPr="004705D7" w:rsidRDefault="002A03F0" w:rsidP="00C24FA6">
      <w:pPr>
        <w:spacing w:line="360" w:lineRule="auto"/>
        <w:rPr>
          <w:b/>
          <w:u w:val="single"/>
        </w:rPr>
      </w:pPr>
      <w:r w:rsidRPr="004705D7">
        <w:rPr>
          <w:b/>
          <w:u w:val="single"/>
        </w:rPr>
        <w:lastRenderedPageBreak/>
        <w:t>Tables des matières</w:t>
      </w:r>
    </w:p>
    <w:p w14:paraId="4B950265" w14:textId="77777777" w:rsidR="00864C3A" w:rsidRPr="00864C3A" w:rsidRDefault="00F632AF" w:rsidP="00864C3A">
      <w:pPr>
        <w:pStyle w:val="TM1"/>
        <w:tabs>
          <w:tab w:val="right" w:leader="dot" w:pos="9350"/>
        </w:tabs>
        <w:spacing w:line="360" w:lineRule="auto"/>
        <w:jc w:val="both"/>
        <w:rPr>
          <w:rFonts w:ascii="Times New Roman" w:eastAsiaTheme="minorEastAsia" w:hAnsi="Times New Roman"/>
          <w:b w:val="0"/>
          <w:bCs w:val="0"/>
          <w:caps w:val="0"/>
          <w:noProof/>
          <w:sz w:val="24"/>
          <w:szCs w:val="24"/>
        </w:rPr>
      </w:pPr>
      <w:r w:rsidRPr="00864C3A">
        <w:rPr>
          <w:rFonts w:ascii="Times New Roman" w:hAnsi="Times New Roman"/>
          <w:b w:val="0"/>
          <w:sz w:val="24"/>
          <w:szCs w:val="24"/>
        </w:rPr>
        <w:fldChar w:fldCharType="begin"/>
      </w:r>
      <w:r w:rsidRPr="00864C3A">
        <w:rPr>
          <w:rFonts w:ascii="Times New Roman" w:hAnsi="Times New Roman"/>
          <w:b w:val="0"/>
          <w:sz w:val="24"/>
          <w:szCs w:val="24"/>
        </w:rPr>
        <w:instrText xml:space="preserve"> TOC \o "1-3" </w:instrText>
      </w:r>
      <w:r w:rsidRPr="00864C3A">
        <w:rPr>
          <w:rFonts w:ascii="Times New Roman" w:hAnsi="Times New Roman"/>
          <w:b w:val="0"/>
          <w:sz w:val="24"/>
          <w:szCs w:val="24"/>
        </w:rPr>
        <w:fldChar w:fldCharType="separate"/>
      </w:r>
      <w:r w:rsidR="00864C3A" w:rsidRPr="00864C3A">
        <w:rPr>
          <w:rFonts w:ascii="Times New Roman" w:hAnsi="Times New Roman"/>
          <w:b w:val="0"/>
          <w:noProof/>
          <w:color w:val="000000" w:themeColor="text1"/>
          <w:sz w:val="24"/>
          <w:szCs w:val="24"/>
        </w:rPr>
        <w:t>1. Introduction</w:t>
      </w:r>
      <w:r w:rsidR="00864C3A" w:rsidRPr="00864C3A">
        <w:rPr>
          <w:rFonts w:ascii="Times New Roman" w:hAnsi="Times New Roman"/>
          <w:b w:val="0"/>
          <w:noProof/>
          <w:sz w:val="24"/>
          <w:szCs w:val="24"/>
        </w:rPr>
        <w:tab/>
      </w:r>
      <w:r w:rsidR="00864C3A" w:rsidRPr="00864C3A">
        <w:rPr>
          <w:rFonts w:ascii="Times New Roman" w:hAnsi="Times New Roman"/>
          <w:b w:val="0"/>
          <w:noProof/>
          <w:sz w:val="24"/>
          <w:szCs w:val="24"/>
        </w:rPr>
        <w:fldChar w:fldCharType="begin"/>
      </w:r>
      <w:r w:rsidR="00864C3A" w:rsidRPr="00864C3A">
        <w:rPr>
          <w:rFonts w:ascii="Times New Roman" w:hAnsi="Times New Roman"/>
          <w:b w:val="0"/>
          <w:noProof/>
          <w:sz w:val="24"/>
          <w:szCs w:val="24"/>
        </w:rPr>
        <w:instrText xml:space="preserve"> PAGEREF _Toc719093 \h </w:instrText>
      </w:r>
      <w:r w:rsidR="00864C3A" w:rsidRPr="00864C3A">
        <w:rPr>
          <w:rFonts w:ascii="Times New Roman" w:hAnsi="Times New Roman"/>
          <w:b w:val="0"/>
          <w:noProof/>
          <w:sz w:val="24"/>
          <w:szCs w:val="24"/>
        </w:rPr>
      </w:r>
      <w:r w:rsidR="00864C3A" w:rsidRPr="00864C3A">
        <w:rPr>
          <w:rFonts w:ascii="Times New Roman" w:hAnsi="Times New Roman"/>
          <w:b w:val="0"/>
          <w:noProof/>
          <w:sz w:val="24"/>
          <w:szCs w:val="24"/>
        </w:rPr>
        <w:fldChar w:fldCharType="separate"/>
      </w:r>
      <w:r w:rsidR="00864C3A" w:rsidRPr="00864C3A">
        <w:rPr>
          <w:rFonts w:ascii="Times New Roman" w:hAnsi="Times New Roman"/>
          <w:b w:val="0"/>
          <w:noProof/>
          <w:sz w:val="24"/>
          <w:szCs w:val="24"/>
        </w:rPr>
        <w:t>3</w:t>
      </w:r>
      <w:r w:rsidR="00864C3A" w:rsidRPr="00864C3A">
        <w:rPr>
          <w:rFonts w:ascii="Times New Roman" w:hAnsi="Times New Roman"/>
          <w:b w:val="0"/>
          <w:noProof/>
          <w:sz w:val="24"/>
          <w:szCs w:val="24"/>
        </w:rPr>
        <w:fldChar w:fldCharType="end"/>
      </w:r>
    </w:p>
    <w:p w14:paraId="2E89B8C8" w14:textId="77777777" w:rsidR="00864C3A" w:rsidRPr="00864C3A" w:rsidRDefault="00864C3A" w:rsidP="00864C3A">
      <w:pPr>
        <w:pStyle w:val="TM1"/>
        <w:tabs>
          <w:tab w:val="right" w:leader="dot" w:pos="9350"/>
        </w:tabs>
        <w:spacing w:line="360" w:lineRule="auto"/>
        <w:jc w:val="both"/>
        <w:rPr>
          <w:rFonts w:ascii="Times New Roman" w:eastAsiaTheme="minorEastAsia" w:hAnsi="Times New Roman"/>
          <w:b w:val="0"/>
          <w:bCs w:val="0"/>
          <w:caps w:val="0"/>
          <w:noProof/>
          <w:sz w:val="24"/>
          <w:szCs w:val="24"/>
        </w:rPr>
      </w:pPr>
      <w:r w:rsidRPr="00864C3A">
        <w:rPr>
          <w:rFonts w:ascii="Times New Roman" w:hAnsi="Times New Roman"/>
          <w:b w:val="0"/>
          <w:noProof/>
          <w:color w:val="000000" w:themeColor="text1"/>
          <w:sz w:val="24"/>
          <w:szCs w:val="24"/>
        </w:rPr>
        <w:t>2. Mise en contexte</w:t>
      </w:r>
      <w:r w:rsidRPr="00864C3A">
        <w:rPr>
          <w:rFonts w:ascii="Times New Roman" w:hAnsi="Times New Roman"/>
          <w:b w:val="0"/>
          <w:noProof/>
          <w:sz w:val="24"/>
          <w:szCs w:val="24"/>
        </w:rPr>
        <w:tab/>
      </w:r>
      <w:r w:rsidRPr="00864C3A">
        <w:rPr>
          <w:rFonts w:ascii="Times New Roman" w:hAnsi="Times New Roman"/>
          <w:b w:val="0"/>
          <w:noProof/>
          <w:sz w:val="24"/>
          <w:szCs w:val="24"/>
        </w:rPr>
        <w:fldChar w:fldCharType="begin"/>
      </w:r>
      <w:r w:rsidRPr="00864C3A">
        <w:rPr>
          <w:rFonts w:ascii="Times New Roman" w:hAnsi="Times New Roman"/>
          <w:b w:val="0"/>
          <w:noProof/>
          <w:sz w:val="24"/>
          <w:szCs w:val="24"/>
        </w:rPr>
        <w:instrText xml:space="preserve"> PAGEREF _Toc719094 \h </w:instrText>
      </w:r>
      <w:r w:rsidRPr="00864C3A">
        <w:rPr>
          <w:rFonts w:ascii="Times New Roman" w:hAnsi="Times New Roman"/>
          <w:b w:val="0"/>
          <w:noProof/>
          <w:sz w:val="24"/>
          <w:szCs w:val="24"/>
        </w:rPr>
      </w:r>
      <w:r w:rsidRPr="00864C3A">
        <w:rPr>
          <w:rFonts w:ascii="Times New Roman" w:hAnsi="Times New Roman"/>
          <w:b w:val="0"/>
          <w:noProof/>
          <w:sz w:val="24"/>
          <w:szCs w:val="24"/>
        </w:rPr>
        <w:fldChar w:fldCharType="separate"/>
      </w:r>
      <w:r w:rsidRPr="00864C3A">
        <w:rPr>
          <w:rFonts w:ascii="Times New Roman" w:hAnsi="Times New Roman"/>
          <w:b w:val="0"/>
          <w:noProof/>
          <w:sz w:val="24"/>
          <w:szCs w:val="24"/>
        </w:rPr>
        <w:t>3</w:t>
      </w:r>
      <w:r w:rsidRPr="00864C3A">
        <w:rPr>
          <w:rFonts w:ascii="Times New Roman" w:hAnsi="Times New Roman"/>
          <w:b w:val="0"/>
          <w:noProof/>
          <w:sz w:val="24"/>
          <w:szCs w:val="24"/>
        </w:rPr>
        <w:fldChar w:fldCharType="end"/>
      </w:r>
    </w:p>
    <w:p w14:paraId="74828D32" w14:textId="77777777" w:rsidR="00864C3A" w:rsidRPr="00864C3A" w:rsidRDefault="00864C3A" w:rsidP="00864C3A">
      <w:pPr>
        <w:pStyle w:val="TM1"/>
        <w:tabs>
          <w:tab w:val="right" w:leader="dot" w:pos="9350"/>
        </w:tabs>
        <w:spacing w:line="360" w:lineRule="auto"/>
        <w:jc w:val="both"/>
        <w:rPr>
          <w:rFonts w:ascii="Times New Roman" w:eastAsiaTheme="minorEastAsia" w:hAnsi="Times New Roman"/>
          <w:b w:val="0"/>
          <w:bCs w:val="0"/>
          <w:caps w:val="0"/>
          <w:noProof/>
          <w:sz w:val="24"/>
          <w:szCs w:val="24"/>
        </w:rPr>
      </w:pPr>
      <w:r w:rsidRPr="00864C3A">
        <w:rPr>
          <w:rFonts w:ascii="Times New Roman" w:hAnsi="Times New Roman"/>
          <w:b w:val="0"/>
          <w:noProof/>
          <w:color w:val="000000" w:themeColor="text1"/>
          <w:sz w:val="24"/>
          <w:szCs w:val="24"/>
        </w:rPr>
        <w:t>3. Approche proposée</w:t>
      </w:r>
      <w:r w:rsidRPr="00864C3A">
        <w:rPr>
          <w:rFonts w:ascii="Times New Roman" w:hAnsi="Times New Roman"/>
          <w:b w:val="0"/>
          <w:noProof/>
          <w:sz w:val="24"/>
          <w:szCs w:val="24"/>
        </w:rPr>
        <w:tab/>
      </w:r>
      <w:r w:rsidRPr="00864C3A">
        <w:rPr>
          <w:rFonts w:ascii="Times New Roman" w:hAnsi="Times New Roman"/>
          <w:b w:val="0"/>
          <w:noProof/>
          <w:sz w:val="24"/>
          <w:szCs w:val="24"/>
        </w:rPr>
        <w:fldChar w:fldCharType="begin"/>
      </w:r>
      <w:r w:rsidRPr="00864C3A">
        <w:rPr>
          <w:rFonts w:ascii="Times New Roman" w:hAnsi="Times New Roman"/>
          <w:b w:val="0"/>
          <w:noProof/>
          <w:sz w:val="24"/>
          <w:szCs w:val="24"/>
        </w:rPr>
        <w:instrText xml:space="preserve"> PAGEREF _Toc719095 \h </w:instrText>
      </w:r>
      <w:r w:rsidRPr="00864C3A">
        <w:rPr>
          <w:rFonts w:ascii="Times New Roman" w:hAnsi="Times New Roman"/>
          <w:b w:val="0"/>
          <w:noProof/>
          <w:sz w:val="24"/>
          <w:szCs w:val="24"/>
        </w:rPr>
      </w:r>
      <w:r w:rsidRPr="00864C3A">
        <w:rPr>
          <w:rFonts w:ascii="Times New Roman" w:hAnsi="Times New Roman"/>
          <w:b w:val="0"/>
          <w:noProof/>
          <w:sz w:val="24"/>
          <w:szCs w:val="24"/>
        </w:rPr>
        <w:fldChar w:fldCharType="separate"/>
      </w:r>
      <w:r w:rsidRPr="00864C3A">
        <w:rPr>
          <w:rFonts w:ascii="Times New Roman" w:hAnsi="Times New Roman"/>
          <w:b w:val="0"/>
          <w:noProof/>
          <w:sz w:val="24"/>
          <w:szCs w:val="24"/>
        </w:rPr>
        <w:t>5</w:t>
      </w:r>
      <w:r w:rsidRPr="00864C3A">
        <w:rPr>
          <w:rFonts w:ascii="Times New Roman" w:hAnsi="Times New Roman"/>
          <w:b w:val="0"/>
          <w:noProof/>
          <w:sz w:val="24"/>
          <w:szCs w:val="24"/>
        </w:rPr>
        <w:fldChar w:fldCharType="end"/>
      </w:r>
    </w:p>
    <w:p w14:paraId="4F6FAE60" w14:textId="77777777" w:rsidR="00864C3A" w:rsidRPr="00864C3A" w:rsidRDefault="00864C3A" w:rsidP="00864C3A">
      <w:pPr>
        <w:pStyle w:val="TM2"/>
        <w:tabs>
          <w:tab w:val="right" w:leader="dot" w:pos="9350"/>
        </w:tabs>
        <w:spacing w:line="360" w:lineRule="auto"/>
        <w:jc w:val="both"/>
        <w:rPr>
          <w:rFonts w:ascii="Times New Roman" w:eastAsiaTheme="minorEastAsia" w:hAnsi="Times New Roman"/>
          <w:smallCaps w:val="0"/>
          <w:noProof/>
          <w:sz w:val="24"/>
          <w:szCs w:val="24"/>
        </w:rPr>
      </w:pPr>
      <w:r w:rsidRPr="00864C3A">
        <w:rPr>
          <w:rFonts w:ascii="Times New Roman" w:hAnsi="Times New Roman"/>
          <w:noProof/>
          <w:color w:val="000000" w:themeColor="text1"/>
          <w:sz w:val="24"/>
          <w:szCs w:val="24"/>
        </w:rPr>
        <w:t>3.1 Système parallèle pour les cours de première instance</w:t>
      </w:r>
      <w:r w:rsidRPr="00864C3A">
        <w:rPr>
          <w:rFonts w:ascii="Times New Roman" w:hAnsi="Times New Roman"/>
          <w:noProof/>
          <w:sz w:val="24"/>
          <w:szCs w:val="24"/>
        </w:rPr>
        <w:tab/>
      </w:r>
      <w:r w:rsidRPr="00864C3A">
        <w:rPr>
          <w:rFonts w:ascii="Times New Roman" w:hAnsi="Times New Roman"/>
          <w:noProof/>
          <w:sz w:val="24"/>
          <w:szCs w:val="24"/>
        </w:rPr>
        <w:fldChar w:fldCharType="begin"/>
      </w:r>
      <w:r w:rsidRPr="00864C3A">
        <w:rPr>
          <w:rFonts w:ascii="Times New Roman" w:hAnsi="Times New Roman"/>
          <w:noProof/>
          <w:sz w:val="24"/>
          <w:szCs w:val="24"/>
        </w:rPr>
        <w:instrText xml:space="preserve"> PAGEREF _Toc719096 \h </w:instrText>
      </w:r>
      <w:r w:rsidRPr="00864C3A">
        <w:rPr>
          <w:rFonts w:ascii="Times New Roman" w:hAnsi="Times New Roman"/>
          <w:noProof/>
          <w:sz w:val="24"/>
          <w:szCs w:val="24"/>
        </w:rPr>
      </w:r>
      <w:r w:rsidRPr="00864C3A">
        <w:rPr>
          <w:rFonts w:ascii="Times New Roman" w:hAnsi="Times New Roman"/>
          <w:noProof/>
          <w:sz w:val="24"/>
          <w:szCs w:val="24"/>
        </w:rPr>
        <w:fldChar w:fldCharType="separate"/>
      </w:r>
      <w:r w:rsidRPr="00864C3A">
        <w:rPr>
          <w:rFonts w:ascii="Times New Roman" w:hAnsi="Times New Roman"/>
          <w:noProof/>
          <w:sz w:val="24"/>
          <w:szCs w:val="24"/>
        </w:rPr>
        <w:t>5</w:t>
      </w:r>
      <w:r w:rsidRPr="00864C3A">
        <w:rPr>
          <w:rFonts w:ascii="Times New Roman" w:hAnsi="Times New Roman"/>
          <w:noProof/>
          <w:sz w:val="24"/>
          <w:szCs w:val="24"/>
        </w:rPr>
        <w:fldChar w:fldCharType="end"/>
      </w:r>
    </w:p>
    <w:p w14:paraId="0A81726B" w14:textId="77777777" w:rsidR="00864C3A" w:rsidRPr="00864C3A" w:rsidRDefault="00864C3A" w:rsidP="00864C3A">
      <w:pPr>
        <w:pStyle w:val="TM2"/>
        <w:tabs>
          <w:tab w:val="right" w:leader="dot" w:pos="9350"/>
        </w:tabs>
        <w:spacing w:line="360" w:lineRule="auto"/>
        <w:jc w:val="both"/>
        <w:rPr>
          <w:rFonts w:ascii="Times New Roman" w:eastAsiaTheme="minorEastAsia" w:hAnsi="Times New Roman"/>
          <w:smallCaps w:val="0"/>
          <w:noProof/>
          <w:sz w:val="24"/>
          <w:szCs w:val="24"/>
        </w:rPr>
      </w:pPr>
      <w:r w:rsidRPr="00864C3A">
        <w:rPr>
          <w:rFonts w:ascii="Times New Roman" w:hAnsi="Times New Roman"/>
          <w:noProof/>
          <w:color w:val="000000" w:themeColor="text1"/>
          <w:sz w:val="24"/>
          <w:szCs w:val="24"/>
        </w:rPr>
        <w:t xml:space="preserve">3.2 Système </w:t>
      </w:r>
      <w:r w:rsidRPr="00864C3A">
        <w:rPr>
          <w:rFonts w:ascii="Times New Roman" w:hAnsi="Times New Roman"/>
          <w:i/>
          <w:noProof/>
          <w:color w:val="000000" w:themeColor="text1"/>
          <w:sz w:val="24"/>
          <w:szCs w:val="24"/>
        </w:rPr>
        <w:t>ad hoc</w:t>
      </w:r>
      <w:r w:rsidRPr="00864C3A">
        <w:rPr>
          <w:rFonts w:ascii="Times New Roman" w:hAnsi="Times New Roman"/>
          <w:noProof/>
          <w:color w:val="000000" w:themeColor="text1"/>
          <w:sz w:val="24"/>
          <w:szCs w:val="24"/>
        </w:rPr>
        <w:t xml:space="preserve"> en Cour d’appel pour les peuples autochtones</w:t>
      </w:r>
      <w:r w:rsidRPr="00864C3A">
        <w:rPr>
          <w:rFonts w:ascii="Times New Roman" w:hAnsi="Times New Roman"/>
          <w:noProof/>
          <w:sz w:val="24"/>
          <w:szCs w:val="24"/>
        </w:rPr>
        <w:tab/>
      </w:r>
      <w:r w:rsidRPr="00864C3A">
        <w:rPr>
          <w:rFonts w:ascii="Times New Roman" w:hAnsi="Times New Roman"/>
          <w:noProof/>
          <w:sz w:val="24"/>
          <w:szCs w:val="24"/>
        </w:rPr>
        <w:fldChar w:fldCharType="begin"/>
      </w:r>
      <w:r w:rsidRPr="00864C3A">
        <w:rPr>
          <w:rFonts w:ascii="Times New Roman" w:hAnsi="Times New Roman"/>
          <w:noProof/>
          <w:sz w:val="24"/>
          <w:szCs w:val="24"/>
        </w:rPr>
        <w:instrText xml:space="preserve"> PAGEREF _Toc719097 \h </w:instrText>
      </w:r>
      <w:r w:rsidRPr="00864C3A">
        <w:rPr>
          <w:rFonts w:ascii="Times New Roman" w:hAnsi="Times New Roman"/>
          <w:noProof/>
          <w:sz w:val="24"/>
          <w:szCs w:val="24"/>
        </w:rPr>
      </w:r>
      <w:r w:rsidRPr="00864C3A">
        <w:rPr>
          <w:rFonts w:ascii="Times New Roman" w:hAnsi="Times New Roman"/>
          <w:noProof/>
          <w:sz w:val="24"/>
          <w:szCs w:val="24"/>
        </w:rPr>
        <w:fldChar w:fldCharType="separate"/>
      </w:r>
      <w:r w:rsidRPr="00864C3A">
        <w:rPr>
          <w:rFonts w:ascii="Times New Roman" w:hAnsi="Times New Roman"/>
          <w:noProof/>
          <w:sz w:val="24"/>
          <w:szCs w:val="24"/>
        </w:rPr>
        <w:t>6</w:t>
      </w:r>
      <w:r w:rsidRPr="00864C3A">
        <w:rPr>
          <w:rFonts w:ascii="Times New Roman" w:hAnsi="Times New Roman"/>
          <w:noProof/>
          <w:sz w:val="24"/>
          <w:szCs w:val="24"/>
        </w:rPr>
        <w:fldChar w:fldCharType="end"/>
      </w:r>
    </w:p>
    <w:p w14:paraId="230F28AC" w14:textId="77777777" w:rsidR="00864C3A" w:rsidRPr="00864C3A" w:rsidRDefault="00864C3A" w:rsidP="00864C3A">
      <w:pPr>
        <w:pStyle w:val="TM3"/>
        <w:tabs>
          <w:tab w:val="right" w:leader="dot" w:pos="9350"/>
        </w:tabs>
        <w:spacing w:line="360" w:lineRule="auto"/>
        <w:jc w:val="both"/>
        <w:rPr>
          <w:rFonts w:ascii="Times New Roman" w:eastAsiaTheme="minorEastAsia" w:hAnsi="Times New Roman"/>
          <w:i w:val="0"/>
          <w:iCs w:val="0"/>
          <w:noProof/>
          <w:sz w:val="24"/>
          <w:szCs w:val="24"/>
        </w:rPr>
      </w:pPr>
      <w:r w:rsidRPr="00864C3A">
        <w:rPr>
          <w:rFonts w:ascii="Times New Roman" w:eastAsia="Times New Roman" w:hAnsi="Times New Roman"/>
          <w:i w:val="0"/>
          <w:noProof/>
          <w:color w:val="000000" w:themeColor="text1"/>
          <w:sz w:val="24"/>
          <w:szCs w:val="24"/>
          <w:shd w:val="clear" w:color="auto" w:fill="FFFFFF"/>
          <w:lang w:val="fr-CA"/>
        </w:rPr>
        <w:t>3.2.1 Application à la Cour internationale de justice</w:t>
      </w:r>
      <w:r w:rsidRPr="00864C3A">
        <w:rPr>
          <w:rFonts w:ascii="Times New Roman" w:hAnsi="Times New Roman"/>
          <w:i w:val="0"/>
          <w:noProof/>
          <w:sz w:val="24"/>
          <w:szCs w:val="24"/>
        </w:rPr>
        <w:tab/>
      </w:r>
      <w:r w:rsidRPr="00864C3A">
        <w:rPr>
          <w:rFonts w:ascii="Times New Roman" w:hAnsi="Times New Roman"/>
          <w:i w:val="0"/>
          <w:noProof/>
          <w:sz w:val="24"/>
          <w:szCs w:val="24"/>
        </w:rPr>
        <w:fldChar w:fldCharType="begin"/>
      </w:r>
      <w:r w:rsidRPr="00864C3A">
        <w:rPr>
          <w:rFonts w:ascii="Times New Roman" w:hAnsi="Times New Roman"/>
          <w:i w:val="0"/>
          <w:noProof/>
          <w:sz w:val="24"/>
          <w:szCs w:val="24"/>
        </w:rPr>
        <w:instrText xml:space="preserve"> PAGEREF _Toc719098 \h </w:instrText>
      </w:r>
      <w:r w:rsidRPr="00864C3A">
        <w:rPr>
          <w:rFonts w:ascii="Times New Roman" w:hAnsi="Times New Roman"/>
          <w:i w:val="0"/>
          <w:noProof/>
          <w:sz w:val="24"/>
          <w:szCs w:val="24"/>
        </w:rPr>
      </w:r>
      <w:r w:rsidRPr="00864C3A">
        <w:rPr>
          <w:rFonts w:ascii="Times New Roman" w:hAnsi="Times New Roman"/>
          <w:i w:val="0"/>
          <w:noProof/>
          <w:sz w:val="24"/>
          <w:szCs w:val="24"/>
        </w:rPr>
        <w:fldChar w:fldCharType="separate"/>
      </w:r>
      <w:r w:rsidRPr="00864C3A">
        <w:rPr>
          <w:rFonts w:ascii="Times New Roman" w:hAnsi="Times New Roman"/>
          <w:i w:val="0"/>
          <w:noProof/>
          <w:sz w:val="24"/>
          <w:szCs w:val="24"/>
        </w:rPr>
        <w:t>7</w:t>
      </w:r>
      <w:r w:rsidRPr="00864C3A">
        <w:rPr>
          <w:rFonts w:ascii="Times New Roman" w:hAnsi="Times New Roman"/>
          <w:i w:val="0"/>
          <w:noProof/>
          <w:sz w:val="24"/>
          <w:szCs w:val="24"/>
        </w:rPr>
        <w:fldChar w:fldCharType="end"/>
      </w:r>
    </w:p>
    <w:p w14:paraId="179811FF" w14:textId="77777777" w:rsidR="00864C3A" w:rsidRPr="00864C3A" w:rsidRDefault="00864C3A" w:rsidP="00864C3A">
      <w:pPr>
        <w:pStyle w:val="TM3"/>
        <w:tabs>
          <w:tab w:val="right" w:leader="dot" w:pos="9350"/>
        </w:tabs>
        <w:spacing w:line="360" w:lineRule="auto"/>
        <w:jc w:val="both"/>
        <w:rPr>
          <w:rFonts w:ascii="Times New Roman" w:eastAsiaTheme="minorEastAsia" w:hAnsi="Times New Roman"/>
          <w:i w:val="0"/>
          <w:iCs w:val="0"/>
          <w:noProof/>
          <w:sz w:val="24"/>
          <w:szCs w:val="24"/>
        </w:rPr>
      </w:pPr>
      <w:r w:rsidRPr="00864C3A">
        <w:rPr>
          <w:rFonts w:ascii="Times New Roman" w:hAnsi="Times New Roman"/>
          <w:i w:val="0"/>
          <w:noProof/>
          <w:color w:val="000000" w:themeColor="text1"/>
          <w:sz w:val="24"/>
          <w:szCs w:val="24"/>
        </w:rPr>
        <w:t>3.2.2 Application au contexte québécois</w:t>
      </w:r>
      <w:r w:rsidRPr="00864C3A">
        <w:rPr>
          <w:rFonts w:ascii="Times New Roman" w:hAnsi="Times New Roman"/>
          <w:i w:val="0"/>
          <w:noProof/>
          <w:sz w:val="24"/>
          <w:szCs w:val="24"/>
        </w:rPr>
        <w:tab/>
      </w:r>
      <w:r w:rsidRPr="00864C3A">
        <w:rPr>
          <w:rFonts w:ascii="Times New Roman" w:hAnsi="Times New Roman"/>
          <w:i w:val="0"/>
          <w:noProof/>
          <w:sz w:val="24"/>
          <w:szCs w:val="24"/>
        </w:rPr>
        <w:fldChar w:fldCharType="begin"/>
      </w:r>
      <w:r w:rsidRPr="00864C3A">
        <w:rPr>
          <w:rFonts w:ascii="Times New Roman" w:hAnsi="Times New Roman"/>
          <w:i w:val="0"/>
          <w:noProof/>
          <w:sz w:val="24"/>
          <w:szCs w:val="24"/>
        </w:rPr>
        <w:instrText xml:space="preserve"> PAGEREF _Toc719099 \h </w:instrText>
      </w:r>
      <w:r w:rsidRPr="00864C3A">
        <w:rPr>
          <w:rFonts w:ascii="Times New Roman" w:hAnsi="Times New Roman"/>
          <w:i w:val="0"/>
          <w:noProof/>
          <w:sz w:val="24"/>
          <w:szCs w:val="24"/>
        </w:rPr>
      </w:r>
      <w:r w:rsidRPr="00864C3A">
        <w:rPr>
          <w:rFonts w:ascii="Times New Roman" w:hAnsi="Times New Roman"/>
          <w:i w:val="0"/>
          <w:noProof/>
          <w:sz w:val="24"/>
          <w:szCs w:val="24"/>
        </w:rPr>
        <w:fldChar w:fldCharType="separate"/>
      </w:r>
      <w:r w:rsidRPr="00864C3A">
        <w:rPr>
          <w:rFonts w:ascii="Times New Roman" w:hAnsi="Times New Roman"/>
          <w:i w:val="0"/>
          <w:noProof/>
          <w:sz w:val="24"/>
          <w:szCs w:val="24"/>
        </w:rPr>
        <w:t>8</w:t>
      </w:r>
      <w:r w:rsidRPr="00864C3A">
        <w:rPr>
          <w:rFonts w:ascii="Times New Roman" w:hAnsi="Times New Roman"/>
          <w:i w:val="0"/>
          <w:noProof/>
          <w:sz w:val="24"/>
          <w:szCs w:val="24"/>
        </w:rPr>
        <w:fldChar w:fldCharType="end"/>
      </w:r>
    </w:p>
    <w:p w14:paraId="3FF7305D" w14:textId="77777777" w:rsidR="00864C3A" w:rsidRPr="00864C3A" w:rsidRDefault="00864C3A" w:rsidP="00864C3A">
      <w:pPr>
        <w:pStyle w:val="TM1"/>
        <w:tabs>
          <w:tab w:val="right" w:leader="dot" w:pos="9350"/>
        </w:tabs>
        <w:spacing w:line="360" w:lineRule="auto"/>
        <w:jc w:val="both"/>
        <w:rPr>
          <w:rFonts w:ascii="Times New Roman" w:eastAsiaTheme="minorEastAsia" w:hAnsi="Times New Roman"/>
          <w:b w:val="0"/>
          <w:bCs w:val="0"/>
          <w:caps w:val="0"/>
          <w:noProof/>
          <w:sz w:val="24"/>
          <w:szCs w:val="24"/>
        </w:rPr>
      </w:pPr>
      <w:r w:rsidRPr="00864C3A">
        <w:rPr>
          <w:rFonts w:ascii="Times New Roman" w:hAnsi="Times New Roman"/>
          <w:b w:val="0"/>
          <w:noProof/>
          <w:color w:val="000000" w:themeColor="text1"/>
          <w:sz w:val="24"/>
          <w:szCs w:val="24"/>
        </w:rPr>
        <w:t>4. Conclusion : Dispositions proposées</w:t>
      </w:r>
      <w:r w:rsidRPr="00864C3A">
        <w:rPr>
          <w:rFonts w:ascii="Times New Roman" w:hAnsi="Times New Roman"/>
          <w:b w:val="0"/>
          <w:noProof/>
          <w:sz w:val="24"/>
          <w:szCs w:val="24"/>
        </w:rPr>
        <w:tab/>
      </w:r>
      <w:r w:rsidRPr="00864C3A">
        <w:rPr>
          <w:rFonts w:ascii="Times New Roman" w:hAnsi="Times New Roman"/>
          <w:b w:val="0"/>
          <w:noProof/>
          <w:sz w:val="24"/>
          <w:szCs w:val="24"/>
        </w:rPr>
        <w:fldChar w:fldCharType="begin"/>
      </w:r>
      <w:r w:rsidRPr="00864C3A">
        <w:rPr>
          <w:rFonts w:ascii="Times New Roman" w:hAnsi="Times New Roman"/>
          <w:b w:val="0"/>
          <w:noProof/>
          <w:sz w:val="24"/>
          <w:szCs w:val="24"/>
        </w:rPr>
        <w:instrText xml:space="preserve"> PAGEREF _Toc719100 \h </w:instrText>
      </w:r>
      <w:r w:rsidRPr="00864C3A">
        <w:rPr>
          <w:rFonts w:ascii="Times New Roman" w:hAnsi="Times New Roman"/>
          <w:b w:val="0"/>
          <w:noProof/>
          <w:sz w:val="24"/>
          <w:szCs w:val="24"/>
        </w:rPr>
      </w:r>
      <w:r w:rsidRPr="00864C3A">
        <w:rPr>
          <w:rFonts w:ascii="Times New Roman" w:hAnsi="Times New Roman"/>
          <w:b w:val="0"/>
          <w:noProof/>
          <w:sz w:val="24"/>
          <w:szCs w:val="24"/>
        </w:rPr>
        <w:fldChar w:fldCharType="separate"/>
      </w:r>
      <w:r w:rsidRPr="00864C3A">
        <w:rPr>
          <w:rFonts w:ascii="Times New Roman" w:hAnsi="Times New Roman"/>
          <w:b w:val="0"/>
          <w:noProof/>
          <w:sz w:val="24"/>
          <w:szCs w:val="24"/>
        </w:rPr>
        <w:t>9</w:t>
      </w:r>
      <w:r w:rsidRPr="00864C3A">
        <w:rPr>
          <w:rFonts w:ascii="Times New Roman" w:hAnsi="Times New Roman"/>
          <w:b w:val="0"/>
          <w:noProof/>
          <w:sz w:val="24"/>
          <w:szCs w:val="24"/>
        </w:rPr>
        <w:fldChar w:fldCharType="end"/>
      </w:r>
    </w:p>
    <w:p w14:paraId="090739A1" w14:textId="77777777" w:rsidR="00864C3A" w:rsidRPr="00864C3A" w:rsidRDefault="00864C3A" w:rsidP="00864C3A">
      <w:pPr>
        <w:pStyle w:val="TM1"/>
        <w:tabs>
          <w:tab w:val="right" w:leader="dot" w:pos="9350"/>
        </w:tabs>
        <w:spacing w:line="360" w:lineRule="auto"/>
        <w:jc w:val="both"/>
        <w:rPr>
          <w:rFonts w:ascii="Times New Roman" w:eastAsiaTheme="minorEastAsia" w:hAnsi="Times New Roman"/>
          <w:b w:val="0"/>
          <w:bCs w:val="0"/>
          <w:caps w:val="0"/>
          <w:noProof/>
          <w:sz w:val="24"/>
          <w:szCs w:val="24"/>
        </w:rPr>
      </w:pPr>
      <w:r w:rsidRPr="00864C3A">
        <w:rPr>
          <w:rFonts w:ascii="Times New Roman" w:hAnsi="Times New Roman"/>
          <w:b w:val="0"/>
          <w:noProof/>
          <w:color w:val="000000" w:themeColor="text1"/>
          <w:sz w:val="24"/>
          <w:szCs w:val="24"/>
        </w:rPr>
        <w:t>Bibliographie</w:t>
      </w:r>
      <w:r w:rsidRPr="00864C3A">
        <w:rPr>
          <w:rFonts w:ascii="Times New Roman" w:hAnsi="Times New Roman"/>
          <w:b w:val="0"/>
          <w:noProof/>
          <w:sz w:val="24"/>
          <w:szCs w:val="24"/>
        </w:rPr>
        <w:tab/>
      </w:r>
      <w:r w:rsidRPr="00864C3A">
        <w:rPr>
          <w:rFonts w:ascii="Times New Roman" w:hAnsi="Times New Roman"/>
          <w:b w:val="0"/>
          <w:noProof/>
          <w:sz w:val="24"/>
          <w:szCs w:val="24"/>
        </w:rPr>
        <w:fldChar w:fldCharType="begin"/>
      </w:r>
      <w:r w:rsidRPr="00864C3A">
        <w:rPr>
          <w:rFonts w:ascii="Times New Roman" w:hAnsi="Times New Roman"/>
          <w:b w:val="0"/>
          <w:noProof/>
          <w:sz w:val="24"/>
          <w:szCs w:val="24"/>
        </w:rPr>
        <w:instrText xml:space="preserve"> PAGEREF _Toc719101 \h </w:instrText>
      </w:r>
      <w:r w:rsidRPr="00864C3A">
        <w:rPr>
          <w:rFonts w:ascii="Times New Roman" w:hAnsi="Times New Roman"/>
          <w:b w:val="0"/>
          <w:noProof/>
          <w:sz w:val="24"/>
          <w:szCs w:val="24"/>
        </w:rPr>
      </w:r>
      <w:r w:rsidRPr="00864C3A">
        <w:rPr>
          <w:rFonts w:ascii="Times New Roman" w:hAnsi="Times New Roman"/>
          <w:b w:val="0"/>
          <w:noProof/>
          <w:sz w:val="24"/>
          <w:szCs w:val="24"/>
        </w:rPr>
        <w:fldChar w:fldCharType="separate"/>
      </w:r>
      <w:r w:rsidRPr="00864C3A">
        <w:rPr>
          <w:rFonts w:ascii="Times New Roman" w:hAnsi="Times New Roman"/>
          <w:b w:val="0"/>
          <w:noProof/>
          <w:sz w:val="24"/>
          <w:szCs w:val="24"/>
        </w:rPr>
        <w:t>11</w:t>
      </w:r>
      <w:r w:rsidRPr="00864C3A">
        <w:rPr>
          <w:rFonts w:ascii="Times New Roman" w:hAnsi="Times New Roman"/>
          <w:b w:val="0"/>
          <w:noProof/>
          <w:sz w:val="24"/>
          <w:szCs w:val="24"/>
        </w:rPr>
        <w:fldChar w:fldCharType="end"/>
      </w:r>
    </w:p>
    <w:p w14:paraId="28D0D56F" w14:textId="77777777" w:rsidR="002A03F0" w:rsidRPr="00864C3A" w:rsidRDefault="00F632AF" w:rsidP="00864C3A">
      <w:pPr>
        <w:spacing w:line="360" w:lineRule="auto"/>
        <w:jc w:val="both"/>
      </w:pPr>
      <w:r w:rsidRPr="00864C3A">
        <w:fldChar w:fldCharType="end"/>
      </w:r>
    </w:p>
    <w:p w14:paraId="3E1EF576" w14:textId="77777777" w:rsidR="00E04AF4" w:rsidRDefault="00E04AF4" w:rsidP="00F632AF">
      <w:pPr>
        <w:spacing w:line="360" w:lineRule="auto"/>
      </w:pPr>
    </w:p>
    <w:p w14:paraId="04C721E4" w14:textId="77777777" w:rsidR="00E04AF4" w:rsidRDefault="00E04AF4" w:rsidP="00C24FA6">
      <w:pPr>
        <w:pStyle w:val="Pardeliste"/>
        <w:spacing w:line="360" w:lineRule="auto"/>
      </w:pPr>
    </w:p>
    <w:p w14:paraId="666BD741" w14:textId="77777777" w:rsidR="00E04AF4" w:rsidRDefault="00E04AF4" w:rsidP="00E04AF4">
      <w:pPr>
        <w:pStyle w:val="Pardeliste"/>
        <w:spacing w:line="360" w:lineRule="auto"/>
      </w:pPr>
    </w:p>
    <w:p w14:paraId="522DD7FE" w14:textId="77777777" w:rsidR="00E04AF4" w:rsidRDefault="00E04AF4" w:rsidP="00E04AF4">
      <w:pPr>
        <w:pStyle w:val="Pardeliste"/>
        <w:spacing w:line="360" w:lineRule="auto"/>
      </w:pPr>
    </w:p>
    <w:p w14:paraId="43C3FD05" w14:textId="77777777" w:rsidR="00E04AF4" w:rsidRDefault="00E04AF4" w:rsidP="00E04AF4">
      <w:pPr>
        <w:pStyle w:val="Pardeliste"/>
        <w:spacing w:line="360" w:lineRule="auto"/>
      </w:pPr>
    </w:p>
    <w:p w14:paraId="50CE892C" w14:textId="77777777" w:rsidR="00E04AF4" w:rsidRDefault="00E04AF4" w:rsidP="00E04AF4">
      <w:pPr>
        <w:pStyle w:val="Pardeliste"/>
        <w:spacing w:line="360" w:lineRule="auto"/>
      </w:pPr>
    </w:p>
    <w:p w14:paraId="1E714D74" w14:textId="77777777" w:rsidR="00E04AF4" w:rsidRDefault="00E04AF4" w:rsidP="00E04AF4">
      <w:pPr>
        <w:pStyle w:val="Pardeliste"/>
        <w:spacing w:line="360" w:lineRule="auto"/>
      </w:pPr>
    </w:p>
    <w:p w14:paraId="7BB52744" w14:textId="77777777" w:rsidR="00E04AF4" w:rsidRDefault="00E04AF4" w:rsidP="00E04AF4">
      <w:pPr>
        <w:pStyle w:val="Pardeliste"/>
        <w:spacing w:line="360" w:lineRule="auto"/>
      </w:pPr>
    </w:p>
    <w:p w14:paraId="6FB04A85" w14:textId="77777777" w:rsidR="00E04AF4" w:rsidRDefault="00E04AF4" w:rsidP="00E04AF4">
      <w:pPr>
        <w:pStyle w:val="Pardeliste"/>
        <w:spacing w:line="360" w:lineRule="auto"/>
      </w:pPr>
    </w:p>
    <w:p w14:paraId="5927C308" w14:textId="77777777" w:rsidR="00E04AF4" w:rsidRDefault="00E04AF4" w:rsidP="00E04AF4">
      <w:pPr>
        <w:pStyle w:val="Pardeliste"/>
        <w:spacing w:line="360" w:lineRule="auto"/>
      </w:pPr>
    </w:p>
    <w:p w14:paraId="6571E757" w14:textId="77777777" w:rsidR="00E04AF4" w:rsidRDefault="00E04AF4" w:rsidP="00E04AF4">
      <w:pPr>
        <w:pStyle w:val="Pardeliste"/>
        <w:spacing w:line="360" w:lineRule="auto"/>
      </w:pPr>
    </w:p>
    <w:p w14:paraId="5DC4E1D9" w14:textId="77777777" w:rsidR="00E04AF4" w:rsidRDefault="00E04AF4" w:rsidP="00E04AF4">
      <w:pPr>
        <w:pStyle w:val="Pardeliste"/>
        <w:spacing w:line="360" w:lineRule="auto"/>
      </w:pPr>
    </w:p>
    <w:p w14:paraId="65193B97" w14:textId="77777777" w:rsidR="00E04AF4" w:rsidRDefault="00E04AF4" w:rsidP="00E04AF4">
      <w:pPr>
        <w:pStyle w:val="Pardeliste"/>
        <w:spacing w:line="360" w:lineRule="auto"/>
      </w:pPr>
    </w:p>
    <w:p w14:paraId="140FF011" w14:textId="77777777" w:rsidR="00E04AF4" w:rsidRDefault="00E04AF4" w:rsidP="00E04AF4">
      <w:pPr>
        <w:pStyle w:val="Pardeliste"/>
        <w:spacing w:line="360" w:lineRule="auto"/>
      </w:pPr>
    </w:p>
    <w:p w14:paraId="42797858" w14:textId="77777777" w:rsidR="00E04AF4" w:rsidRDefault="00E04AF4" w:rsidP="00E04AF4">
      <w:pPr>
        <w:pStyle w:val="Pardeliste"/>
        <w:spacing w:line="360" w:lineRule="auto"/>
      </w:pPr>
    </w:p>
    <w:p w14:paraId="490A9C56" w14:textId="77777777" w:rsidR="00E04AF4" w:rsidRDefault="00E04AF4" w:rsidP="00E04AF4">
      <w:pPr>
        <w:pStyle w:val="Pardeliste"/>
        <w:spacing w:line="360" w:lineRule="auto"/>
      </w:pPr>
    </w:p>
    <w:p w14:paraId="0D431F52" w14:textId="77777777" w:rsidR="001A2272" w:rsidRDefault="001A2272">
      <w:r>
        <w:br w:type="page"/>
      </w:r>
    </w:p>
    <w:p w14:paraId="008E91DE" w14:textId="03E1ECB9" w:rsidR="00FD4D34" w:rsidRPr="00FD4D34" w:rsidRDefault="00FD4D34" w:rsidP="00196FEC">
      <w:pPr>
        <w:pStyle w:val="Titre1"/>
        <w:spacing w:line="360" w:lineRule="auto"/>
        <w:jc w:val="both"/>
        <w:rPr>
          <w:rFonts w:ascii="Times New Roman" w:hAnsi="Times New Roman" w:cs="Times New Roman"/>
          <w:b/>
          <w:color w:val="000000" w:themeColor="text1"/>
          <w:sz w:val="24"/>
          <w:szCs w:val="24"/>
        </w:rPr>
      </w:pPr>
      <w:bookmarkStart w:id="0" w:name="_Toc719093"/>
      <w:r>
        <w:rPr>
          <w:rFonts w:ascii="Times New Roman" w:hAnsi="Times New Roman" w:cs="Times New Roman"/>
          <w:b/>
          <w:color w:val="000000" w:themeColor="text1"/>
          <w:sz w:val="24"/>
          <w:szCs w:val="24"/>
        </w:rPr>
        <w:lastRenderedPageBreak/>
        <w:t xml:space="preserve">1. </w:t>
      </w:r>
      <w:r w:rsidR="006965D7" w:rsidRPr="00FD4D34">
        <w:rPr>
          <w:rFonts w:ascii="Times New Roman" w:hAnsi="Times New Roman" w:cs="Times New Roman"/>
          <w:b/>
          <w:color w:val="000000" w:themeColor="text1"/>
          <w:sz w:val="24"/>
          <w:szCs w:val="24"/>
        </w:rPr>
        <w:t>Introduction</w:t>
      </w:r>
      <w:bookmarkEnd w:id="0"/>
    </w:p>
    <w:p w14:paraId="336CFECF" w14:textId="77777777" w:rsidR="00986FA8" w:rsidRPr="00986FA8" w:rsidRDefault="00986FA8" w:rsidP="00196FEC">
      <w:pPr>
        <w:spacing w:line="360" w:lineRule="auto"/>
        <w:ind w:left="360"/>
        <w:rPr>
          <w:b/>
        </w:rPr>
      </w:pPr>
    </w:p>
    <w:p w14:paraId="387BC498" w14:textId="429DA59E" w:rsidR="00986FA8" w:rsidRPr="00986FA8" w:rsidRDefault="00986FA8" w:rsidP="00196FEC">
      <w:pPr>
        <w:spacing w:line="360" w:lineRule="auto"/>
        <w:jc w:val="both"/>
      </w:pPr>
      <w:r w:rsidRPr="00986FA8">
        <w:t>[1]</w:t>
      </w:r>
      <w:r w:rsidRPr="00986FA8">
        <w:tab/>
        <w:t>Le présent mémo</w:t>
      </w:r>
      <w:r>
        <w:t xml:space="preserve">ire s’inscrit dans le cadre du </w:t>
      </w:r>
      <w:r w:rsidRPr="00986FA8">
        <w:t xml:space="preserve">projet </w:t>
      </w:r>
      <w:proofErr w:type="gramStart"/>
      <w:r w:rsidRPr="005925E1">
        <w:rPr>
          <w:i/>
        </w:rPr>
        <w:t>Constituons!</w:t>
      </w:r>
      <w:r w:rsidRPr="00986FA8">
        <w:t>.</w:t>
      </w:r>
      <w:proofErr w:type="gramEnd"/>
      <w:r w:rsidRPr="00986FA8">
        <w:t xml:space="preserve"> Il est destiné à la Commission no</w:t>
      </w:r>
      <w:r w:rsidR="004E66DF">
        <w:t> </w:t>
      </w:r>
      <w:r w:rsidRPr="00986FA8">
        <w:t xml:space="preserve">5 de l’Assemblée constituante, car il porte sur l’établissement d’un système de justice autochtone au Québec. D’abord, nous dressons un portrait de la relation particulière entre la société québécoise et les nations autochtones. Nous présentons également les injustices perpétrées envers les Autochtones dans le système judiciaire actuel. Par la suite, nous présentons un modèle de tribunaux parallèles pour les cours de première instance, dans lequel le droit propre à chaque nation autochtone sera appliqué. Puis, nous décrivons le système de juges </w:t>
      </w:r>
      <w:r w:rsidRPr="001F4D6F">
        <w:rPr>
          <w:i/>
        </w:rPr>
        <w:t>ad hoc</w:t>
      </w:r>
      <w:r w:rsidRPr="00986FA8">
        <w:t xml:space="preserve"> en expliquant comment celui-ci est appliqué à la Cour internationale de justice. Finalement, nous indiquons comment l’adapter au contexte québécois afin d’intégrer les juges autochtones en Cour d’appel.</w:t>
      </w:r>
    </w:p>
    <w:p w14:paraId="7F31DD39" w14:textId="77777777" w:rsidR="00986FA8" w:rsidRPr="00986FA8" w:rsidRDefault="00986FA8" w:rsidP="00196FEC">
      <w:pPr>
        <w:spacing w:line="360" w:lineRule="auto"/>
        <w:jc w:val="both"/>
      </w:pPr>
    </w:p>
    <w:p w14:paraId="2726E0C2" w14:textId="26FB3AA0" w:rsidR="00CF3F14" w:rsidRPr="00AE4650" w:rsidRDefault="00986FA8" w:rsidP="00196FEC">
      <w:pPr>
        <w:spacing w:line="360" w:lineRule="auto"/>
        <w:jc w:val="both"/>
      </w:pPr>
      <w:r w:rsidRPr="00986FA8">
        <w:t>[2]</w:t>
      </w:r>
      <w:r w:rsidRPr="00986FA8">
        <w:tab/>
        <w:t>Il est important de noter que le présent mémoire fait fi des restrictions constitutionnelles actuelles. Nous souhaitons présenter une alternative créative qui reconnaît le droit à l’autodétermination des peuples autochtones, permettant ainsi d’atteindre la réconciliation souhaitée.</w:t>
      </w:r>
    </w:p>
    <w:p w14:paraId="70B7BEE5" w14:textId="6924C34C" w:rsidR="00196FEC" w:rsidRDefault="00FD4D34" w:rsidP="00196FEC">
      <w:pPr>
        <w:pStyle w:val="Titre1"/>
        <w:spacing w:line="360" w:lineRule="auto"/>
        <w:jc w:val="both"/>
        <w:rPr>
          <w:rFonts w:ascii="Times New Roman" w:hAnsi="Times New Roman" w:cs="Times New Roman"/>
          <w:b/>
          <w:color w:val="000000" w:themeColor="text1"/>
          <w:sz w:val="24"/>
          <w:szCs w:val="24"/>
        </w:rPr>
      </w:pPr>
      <w:bookmarkStart w:id="1" w:name="_Toc719094"/>
      <w:r>
        <w:rPr>
          <w:rFonts w:ascii="Times New Roman" w:hAnsi="Times New Roman" w:cs="Times New Roman"/>
          <w:b/>
          <w:color w:val="000000" w:themeColor="text1"/>
          <w:sz w:val="24"/>
          <w:szCs w:val="24"/>
        </w:rPr>
        <w:t xml:space="preserve">2. </w:t>
      </w:r>
      <w:r w:rsidR="00FF4F08" w:rsidRPr="00FD4D34">
        <w:rPr>
          <w:rFonts w:ascii="Times New Roman" w:hAnsi="Times New Roman" w:cs="Times New Roman"/>
          <w:b/>
          <w:color w:val="000000" w:themeColor="text1"/>
          <w:sz w:val="24"/>
          <w:szCs w:val="24"/>
        </w:rPr>
        <w:t>Mise en contexte</w:t>
      </w:r>
      <w:bookmarkEnd w:id="1"/>
    </w:p>
    <w:p w14:paraId="426532A5" w14:textId="77777777" w:rsidR="00196FEC" w:rsidRPr="00196FEC" w:rsidRDefault="00196FEC" w:rsidP="00196FEC">
      <w:pPr>
        <w:spacing w:line="360" w:lineRule="auto"/>
      </w:pPr>
    </w:p>
    <w:p w14:paraId="00733A98" w14:textId="4FDE4D4F" w:rsidR="00CB2789" w:rsidRPr="00CB2789" w:rsidRDefault="00CB2789" w:rsidP="00196FEC">
      <w:pPr>
        <w:spacing w:line="360" w:lineRule="auto"/>
        <w:jc w:val="both"/>
        <w:rPr>
          <w:rFonts w:eastAsia="Times New Roman"/>
          <w:color w:val="111111"/>
          <w:shd w:val="clear" w:color="auto" w:fill="FFFFFF"/>
        </w:rPr>
      </w:pPr>
      <w:r w:rsidRPr="00CB2789">
        <w:rPr>
          <w:rFonts w:eastAsia="Times New Roman"/>
          <w:color w:val="111111"/>
          <w:shd w:val="clear" w:color="auto" w:fill="FFFFFF"/>
        </w:rPr>
        <w:t>[</w:t>
      </w:r>
      <w:r w:rsidR="000D4CA0">
        <w:rPr>
          <w:color w:val="111111"/>
          <w:shd w:val="clear" w:color="auto" w:fill="FFFFFF"/>
        </w:rPr>
        <w:t>3</w:t>
      </w:r>
      <w:r w:rsidRPr="00CB2789">
        <w:rPr>
          <w:rFonts w:eastAsia="Times New Roman"/>
          <w:color w:val="111111"/>
          <w:shd w:val="clear" w:color="auto" w:fill="FFFFFF"/>
        </w:rPr>
        <w:t>]</w:t>
      </w:r>
      <w:r w:rsidRPr="00CB2789">
        <w:rPr>
          <w:rFonts w:eastAsia="Times New Roman"/>
          <w:color w:val="111111"/>
          <w:shd w:val="clear" w:color="auto" w:fill="FFFFFF"/>
        </w:rPr>
        <w:tab/>
        <w:t>La relation que les Québécois entretiennent avec les nations autochtones est particulière. En effet, avant l’arrivée des Européens, les Autochtones étaient déjà présents en Amérique du Nord. Ils ont été d’une grande aide aux colons français s’installant sur le territoire actuel du Québec.</w:t>
      </w:r>
    </w:p>
    <w:p w14:paraId="5F9B8A4C" w14:textId="77777777" w:rsidR="00CB2789" w:rsidRPr="00CB2789" w:rsidRDefault="00CB2789" w:rsidP="00196FEC">
      <w:pPr>
        <w:spacing w:line="360" w:lineRule="auto"/>
        <w:jc w:val="both"/>
        <w:rPr>
          <w:rFonts w:ascii="-webkit-standard" w:eastAsia="Times New Roman" w:hAnsi="-webkit-standard"/>
          <w:color w:val="000000"/>
        </w:rPr>
      </w:pPr>
    </w:p>
    <w:p w14:paraId="6D155E79" w14:textId="1E48B24F" w:rsidR="00CB2789" w:rsidRPr="00CB2789" w:rsidRDefault="00CB2789" w:rsidP="00196FEC">
      <w:pPr>
        <w:spacing w:line="360" w:lineRule="auto"/>
        <w:jc w:val="both"/>
        <w:rPr>
          <w:rFonts w:ascii="-webkit-standard" w:eastAsia="Times New Roman" w:hAnsi="-webkit-standard"/>
          <w:color w:val="000000"/>
        </w:rPr>
      </w:pPr>
      <w:r w:rsidRPr="00CB2789">
        <w:rPr>
          <w:rFonts w:eastAsia="Times New Roman"/>
          <w:color w:val="111111"/>
          <w:shd w:val="clear" w:color="auto" w:fill="FFFFFF"/>
        </w:rPr>
        <w:t>[</w:t>
      </w:r>
      <w:r w:rsidR="000D4CA0">
        <w:rPr>
          <w:color w:val="111111"/>
          <w:shd w:val="clear" w:color="auto" w:fill="FFFFFF"/>
        </w:rPr>
        <w:t>4</w:t>
      </w:r>
      <w:r w:rsidRPr="00CB2789">
        <w:rPr>
          <w:rFonts w:eastAsia="Times New Roman"/>
          <w:color w:val="111111"/>
          <w:shd w:val="clear" w:color="auto" w:fill="FFFFFF"/>
        </w:rPr>
        <w:t>]</w:t>
      </w:r>
      <w:r w:rsidRPr="00CB2789">
        <w:rPr>
          <w:rFonts w:eastAsia="Times New Roman"/>
          <w:color w:val="111111"/>
          <w:shd w:val="clear" w:color="auto" w:fill="FFFFFF"/>
        </w:rPr>
        <w:tab/>
        <w:t xml:space="preserve">Cependant, les Canadiens n’ont pas rendu cette faveur aux peuples autochtones. Ils se sont, entre autres, appropriés le contrôle de leurs territoires par le biais de la </w:t>
      </w:r>
      <w:r w:rsidRPr="001B59DB">
        <w:rPr>
          <w:rFonts w:eastAsia="Times New Roman"/>
          <w:i/>
          <w:color w:val="111111"/>
          <w:shd w:val="clear" w:color="auto" w:fill="FFFFFF"/>
        </w:rPr>
        <w:t>Proclamation royale</w:t>
      </w:r>
      <w:r w:rsidRPr="00CB2789">
        <w:rPr>
          <w:rFonts w:eastAsia="Times New Roman"/>
          <w:color w:val="111111"/>
          <w:shd w:val="clear" w:color="auto" w:fill="FFFFFF"/>
        </w:rPr>
        <w:t xml:space="preserve"> et des </w:t>
      </w:r>
      <w:proofErr w:type="gramStart"/>
      <w:r w:rsidRPr="00CB2789">
        <w:rPr>
          <w:rFonts w:eastAsia="Times New Roman"/>
          <w:color w:val="111111"/>
          <w:shd w:val="clear" w:color="auto" w:fill="FFFFFF"/>
        </w:rPr>
        <w:lastRenderedPageBreak/>
        <w:t>traités</w:t>
      </w:r>
      <w:proofErr w:type="gramEnd"/>
      <w:r>
        <w:rPr>
          <w:rStyle w:val="Appelnotedebasdep"/>
          <w:color w:val="111111"/>
          <w:shd w:val="clear" w:color="auto" w:fill="FFFFFF"/>
        </w:rPr>
        <w:footnoteReference w:id="1"/>
      </w:r>
      <w:r w:rsidRPr="00CB2789">
        <w:rPr>
          <w:rFonts w:eastAsia="Times New Roman"/>
          <w:color w:val="111111"/>
          <w:shd w:val="clear" w:color="auto" w:fill="FFFFFF"/>
        </w:rPr>
        <w:t>. Ils ont également obligé les enfants autochtones à quitter leur famille pour aller dans des pensionnats, qui furent en place de 1934 à 1980 au Québec</w:t>
      </w:r>
      <w:r>
        <w:rPr>
          <w:rStyle w:val="Appelnotedebasdep"/>
          <w:color w:val="111111"/>
          <w:shd w:val="clear" w:color="auto" w:fill="FFFFFF"/>
        </w:rPr>
        <w:footnoteReference w:id="2"/>
      </w:r>
      <w:r w:rsidRPr="00CB2789">
        <w:rPr>
          <w:rFonts w:eastAsia="Times New Roman"/>
          <w:color w:val="111111"/>
          <w:shd w:val="clear" w:color="auto" w:fill="FFFFFF"/>
        </w:rPr>
        <w:t xml:space="preserve">. </w:t>
      </w:r>
    </w:p>
    <w:p w14:paraId="67D63D98" w14:textId="77777777" w:rsidR="00CB2789" w:rsidRPr="00CB2789" w:rsidRDefault="00CB2789" w:rsidP="00196FEC">
      <w:pPr>
        <w:spacing w:line="360" w:lineRule="auto"/>
        <w:rPr>
          <w:rFonts w:ascii="-webkit-standard" w:eastAsia="Times New Roman" w:hAnsi="-webkit-standard"/>
          <w:color w:val="000000"/>
        </w:rPr>
      </w:pPr>
    </w:p>
    <w:p w14:paraId="2105D0F4" w14:textId="65ED35AC" w:rsidR="00CB2789" w:rsidRPr="000D4CA0" w:rsidRDefault="00CB2789" w:rsidP="00196FEC">
      <w:pPr>
        <w:spacing w:line="360" w:lineRule="auto"/>
        <w:jc w:val="both"/>
        <w:rPr>
          <w:rFonts w:eastAsia="Times New Roman"/>
          <w:color w:val="111111"/>
          <w:shd w:val="clear" w:color="auto" w:fill="FFFFFF"/>
        </w:rPr>
      </w:pPr>
      <w:r w:rsidRPr="00CB2789">
        <w:rPr>
          <w:rFonts w:eastAsia="Times New Roman"/>
          <w:color w:val="111111"/>
          <w:shd w:val="clear" w:color="auto" w:fill="FFFFFF"/>
        </w:rPr>
        <w:t>[</w:t>
      </w:r>
      <w:r w:rsidR="000D4CA0">
        <w:rPr>
          <w:color w:val="111111"/>
          <w:shd w:val="clear" w:color="auto" w:fill="FFFFFF"/>
        </w:rPr>
        <w:t>5</w:t>
      </w:r>
      <w:r w:rsidRPr="00CB2789">
        <w:rPr>
          <w:rFonts w:eastAsia="Times New Roman"/>
          <w:color w:val="111111"/>
          <w:shd w:val="clear" w:color="auto" w:fill="FFFFFF"/>
        </w:rPr>
        <w:t>]</w:t>
      </w:r>
      <w:r w:rsidRPr="00CB2789">
        <w:rPr>
          <w:rFonts w:eastAsia="Times New Roman"/>
          <w:color w:val="111111"/>
          <w:shd w:val="clear" w:color="auto" w:fill="FFFFFF"/>
        </w:rPr>
        <w:tab/>
        <w:t xml:space="preserve">Malheureusement, les injustices se poursuivent encore aujourd’hui au sein du système judiciaire québécois. </w:t>
      </w:r>
      <w:r w:rsidRPr="00CB2789">
        <w:rPr>
          <w:rFonts w:eastAsia="Times New Roman"/>
          <w:color w:val="111111"/>
        </w:rPr>
        <w:t>L</w:t>
      </w:r>
      <w:r w:rsidRPr="00CB2789">
        <w:rPr>
          <w:rFonts w:eastAsia="Times New Roman"/>
          <w:color w:val="111111"/>
          <w:shd w:val="clear" w:color="auto" w:fill="FFFFFF"/>
        </w:rPr>
        <w:t>es Autochtones ont peu de possibilités</w:t>
      </w:r>
      <w:r w:rsidRPr="00CB2789">
        <w:rPr>
          <w:rFonts w:eastAsia="Times New Roman"/>
          <w:color w:val="111111"/>
        </w:rPr>
        <w:t xml:space="preserve"> de régler eux-</w:t>
      </w:r>
      <w:r w:rsidRPr="00CB2789">
        <w:rPr>
          <w:rFonts w:eastAsia="Times New Roman"/>
          <w:color w:val="111111"/>
          <w:shd w:val="clear" w:color="auto" w:fill="FFFFFF"/>
        </w:rPr>
        <w:t>mêmes leurs différends privés. Il y a néanmoins du progrès, car certaines communautés ont développé des systèmes de justice dans lesquels ils peuvent trancher leurs disputes en utilisant leurs méthodes traditionnelles de rétablissement des liens et de résolution de conflits</w:t>
      </w:r>
      <w:r>
        <w:rPr>
          <w:rStyle w:val="Appelnotedebasdep"/>
          <w:color w:val="111111"/>
          <w:shd w:val="clear" w:color="auto" w:fill="FFFFFF"/>
        </w:rPr>
        <w:footnoteReference w:id="3"/>
      </w:r>
      <w:r w:rsidRPr="00CB2789">
        <w:rPr>
          <w:rFonts w:eastAsia="Times New Roman"/>
          <w:color w:val="111111"/>
          <w:shd w:val="clear" w:color="auto" w:fill="FFFFFF"/>
        </w:rPr>
        <w:t xml:space="preserve">. </w:t>
      </w:r>
      <w:r w:rsidRPr="000D4CA0">
        <w:rPr>
          <w:rFonts w:eastAsia="Times New Roman"/>
          <w:color w:val="111111"/>
          <w:shd w:val="clear" w:color="auto" w:fill="FFFFFF"/>
        </w:rPr>
        <w:t>Cette pratique doit toutefois être plus répandue et encouragée.</w:t>
      </w:r>
    </w:p>
    <w:p w14:paraId="772DE738" w14:textId="77777777" w:rsidR="00CB2789" w:rsidRPr="000D4CA0" w:rsidRDefault="00CB2789" w:rsidP="00196FEC">
      <w:pPr>
        <w:spacing w:line="360" w:lineRule="auto"/>
        <w:jc w:val="both"/>
        <w:rPr>
          <w:rFonts w:ascii="-webkit-standard" w:eastAsia="Times New Roman" w:hAnsi="-webkit-standard"/>
          <w:color w:val="000000"/>
        </w:rPr>
      </w:pPr>
    </w:p>
    <w:p w14:paraId="370C5398" w14:textId="395AED6B" w:rsidR="00CB2789" w:rsidRPr="00CB2789" w:rsidRDefault="00CB2789" w:rsidP="00196FEC">
      <w:pPr>
        <w:spacing w:line="360" w:lineRule="auto"/>
        <w:jc w:val="both"/>
        <w:rPr>
          <w:rFonts w:ascii="-webkit-standard" w:eastAsia="Times New Roman" w:hAnsi="-webkit-standard"/>
          <w:color w:val="000000"/>
        </w:rPr>
      </w:pPr>
      <w:r w:rsidRPr="00CB2789">
        <w:rPr>
          <w:rFonts w:eastAsia="Times New Roman"/>
          <w:color w:val="111111"/>
          <w:shd w:val="clear" w:color="auto" w:fill="FFFFFF"/>
        </w:rPr>
        <w:t>[</w:t>
      </w:r>
      <w:r w:rsidR="000D4CA0">
        <w:rPr>
          <w:color w:val="111111"/>
          <w:shd w:val="clear" w:color="auto" w:fill="FFFFFF"/>
        </w:rPr>
        <w:t>6</w:t>
      </w:r>
      <w:r w:rsidRPr="00CB2789">
        <w:rPr>
          <w:rFonts w:eastAsia="Times New Roman"/>
          <w:color w:val="111111"/>
          <w:shd w:val="clear" w:color="auto" w:fill="FFFFFF"/>
        </w:rPr>
        <w:t>]</w:t>
      </w:r>
      <w:r w:rsidRPr="00CB2789">
        <w:rPr>
          <w:rFonts w:eastAsia="Times New Roman"/>
          <w:color w:val="111111"/>
          <w:shd w:val="clear" w:color="auto" w:fill="FFFFFF"/>
        </w:rPr>
        <w:tab/>
        <w:t>De plus, les Autochtones sont grandement surreprésentés en milieu carcéral</w:t>
      </w:r>
      <w:r>
        <w:rPr>
          <w:rStyle w:val="Appelnotedebasdep"/>
          <w:color w:val="111111"/>
          <w:shd w:val="clear" w:color="auto" w:fill="FFFFFF"/>
        </w:rPr>
        <w:footnoteReference w:id="4"/>
      </w:r>
      <w:r w:rsidRPr="00CB2789">
        <w:rPr>
          <w:rFonts w:eastAsia="Times New Roman"/>
          <w:color w:val="111111"/>
          <w:shd w:val="clear" w:color="auto" w:fill="FFFFFF"/>
        </w:rPr>
        <w:t>. Cette réalité résulte des «</w:t>
      </w:r>
      <w:r w:rsidR="004E66DF">
        <w:rPr>
          <w:rFonts w:eastAsia="Times New Roman"/>
          <w:color w:val="111111"/>
          <w:shd w:val="clear" w:color="auto" w:fill="FFFFFF"/>
        </w:rPr>
        <w:t> </w:t>
      </w:r>
      <w:r w:rsidRPr="00CB2789">
        <w:rPr>
          <w:rFonts w:eastAsia="Times New Roman"/>
          <w:color w:val="111111"/>
          <w:shd w:val="clear" w:color="auto" w:fill="FFFFFF"/>
        </w:rPr>
        <w:t>séquelles intergénérationnelles des pensionnats</w:t>
      </w:r>
      <w:r w:rsidR="004E66DF">
        <w:rPr>
          <w:rFonts w:eastAsia="Times New Roman"/>
          <w:color w:val="111111"/>
          <w:shd w:val="clear" w:color="auto" w:fill="FFFFFF"/>
        </w:rPr>
        <w:t> </w:t>
      </w:r>
      <w:r w:rsidRPr="00CB2789">
        <w:rPr>
          <w:rFonts w:eastAsia="Times New Roman"/>
          <w:color w:val="111111"/>
          <w:shd w:val="clear" w:color="auto" w:fill="FFFFFF"/>
        </w:rPr>
        <w:t>»</w:t>
      </w:r>
      <w:r>
        <w:rPr>
          <w:rStyle w:val="Appelnotedebasdep"/>
          <w:color w:val="111111"/>
          <w:shd w:val="clear" w:color="auto" w:fill="FFFFFF"/>
        </w:rPr>
        <w:footnoteReference w:id="5"/>
      </w:r>
      <w:r w:rsidRPr="00CB2789">
        <w:rPr>
          <w:rFonts w:eastAsia="Times New Roman"/>
          <w:color w:val="111111"/>
          <w:shd w:val="clear" w:color="auto" w:fill="FFFFFF"/>
        </w:rPr>
        <w:t xml:space="preserve"> et des mauvaises conditions socio-économiques dans lesquelles ils vivent</w:t>
      </w:r>
      <w:r>
        <w:rPr>
          <w:rStyle w:val="Appelnotedebasdep"/>
          <w:color w:val="111111"/>
          <w:shd w:val="clear" w:color="auto" w:fill="FFFFFF"/>
        </w:rPr>
        <w:footnoteReference w:id="6"/>
      </w:r>
      <w:r w:rsidRPr="00CB2789">
        <w:rPr>
          <w:rFonts w:eastAsia="Times New Roman"/>
          <w:color w:val="111111"/>
          <w:shd w:val="clear" w:color="auto" w:fill="FFFFFF"/>
        </w:rPr>
        <w:t xml:space="preserve">. </w:t>
      </w:r>
    </w:p>
    <w:p w14:paraId="6EEFB89F" w14:textId="77777777" w:rsidR="00CB2789" w:rsidRPr="00CB2789" w:rsidRDefault="00CB2789" w:rsidP="00196FEC">
      <w:pPr>
        <w:spacing w:line="360" w:lineRule="auto"/>
        <w:rPr>
          <w:rFonts w:ascii="-webkit-standard" w:eastAsia="Times New Roman" w:hAnsi="-webkit-standard"/>
          <w:color w:val="000000"/>
        </w:rPr>
      </w:pPr>
    </w:p>
    <w:p w14:paraId="7D8A93C2" w14:textId="68AB0304" w:rsidR="00CB2789" w:rsidRPr="00CB2789" w:rsidRDefault="00CB2789" w:rsidP="00196FEC">
      <w:pPr>
        <w:spacing w:line="360" w:lineRule="auto"/>
        <w:jc w:val="both"/>
        <w:rPr>
          <w:rFonts w:eastAsia="Times New Roman"/>
          <w:color w:val="111111"/>
          <w:shd w:val="clear" w:color="auto" w:fill="FFFFFF"/>
        </w:rPr>
      </w:pPr>
      <w:r w:rsidRPr="00CB2789">
        <w:rPr>
          <w:rFonts w:eastAsia="Times New Roman"/>
          <w:color w:val="111111"/>
          <w:shd w:val="clear" w:color="auto" w:fill="FFFFFF"/>
        </w:rPr>
        <w:t>[</w:t>
      </w:r>
      <w:r w:rsidR="000D4CA0">
        <w:rPr>
          <w:color w:val="111111"/>
          <w:shd w:val="clear" w:color="auto" w:fill="FFFFFF"/>
        </w:rPr>
        <w:t>7</w:t>
      </w:r>
      <w:r w:rsidRPr="00CB2789">
        <w:rPr>
          <w:rFonts w:eastAsia="Times New Roman"/>
          <w:color w:val="111111"/>
          <w:shd w:val="clear" w:color="auto" w:fill="FFFFFF"/>
        </w:rPr>
        <w:t>]</w:t>
      </w:r>
      <w:r w:rsidRPr="00CB2789">
        <w:rPr>
          <w:rFonts w:eastAsia="Times New Roman"/>
          <w:color w:val="111111"/>
          <w:shd w:val="clear" w:color="auto" w:fill="FFFFFF"/>
        </w:rPr>
        <w:tab/>
        <w:t>Par aill</w:t>
      </w:r>
      <w:r w:rsidRPr="00CB2789">
        <w:rPr>
          <w:rFonts w:eastAsia="Times New Roman"/>
          <w:color w:val="111111"/>
        </w:rPr>
        <w:t>eurs, les Autochtones ne sont pratiquement pas représentés dans les rangs judiciaires</w:t>
      </w:r>
      <w:r>
        <w:rPr>
          <w:rStyle w:val="Appelnotedebasdep"/>
          <w:color w:val="111111"/>
        </w:rPr>
        <w:footnoteReference w:id="7"/>
      </w:r>
      <w:r w:rsidRPr="00CB2789">
        <w:rPr>
          <w:rFonts w:eastAsia="Times New Roman"/>
          <w:color w:val="111111"/>
        </w:rPr>
        <w:t>. Par exemple</w:t>
      </w:r>
      <w:r w:rsidRPr="00CB2789">
        <w:rPr>
          <w:rFonts w:eastAsia="Times New Roman"/>
          <w:color w:val="111111"/>
          <w:shd w:val="clear" w:color="auto" w:fill="FFFFFF"/>
        </w:rPr>
        <w:t>, l’Honorable Mark Philippe est présentement le seul juge autochtone siégeant à la Cour du Québec</w:t>
      </w:r>
      <w:r>
        <w:rPr>
          <w:rStyle w:val="Appelnotedebasdep"/>
          <w:color w:val="111111"/>
          <w:shd w:val="clear" w:color="auto" w:fill="FFFFFF"/>
        </w:rPr>
        <w:footnoteReference w:id="8"/>
      </w:r>
      <w:r w:rsidRPr="00CB2789">
        <w:rPr>
          <w:rFonts w:eastAsia="Times New Roman"/>
          <w:color w:val="111111"/>
          <w:shd w:val="clear" w:color="auto" w:fill="FFFFFF"/>
        </w:rPr>
        <w:t xml:space="preserve">.  Par conséquent, les affaires autochtones sont généralement tranchées par des individus provenant du système qui les opprime depuis longtemps. L’expérience est de ce fait extrêmement paternaliste. </w:t>
      </w:r>
    </w:p>
    <w:p w14:paraId="48537E2D" w14:textId="77777777" w:rsidR="00CB2789" w:rsidRPr="00CB2789" w:rsidRDefault="00CB2789" w:rsidP="00196FEC">
      <w:pPr>
        <w:spacing w:line="360" w:lineRule="auto"/>
        <w:jc w:val="both"/>
        <w:rPr>
          <w:rFonts w:ascii="-webkit-standard" w:eastAsia="Times New Roman" w:hAnsi="-webkit-standard"/>
          <w:color w:val="000000"/>
        </w:rPr>
      </w:pPr>
    </w:p>
    <w:p w14:paraId="461C5233" w14:textId="039FAC8A" w:rsidR="00CB2789" w:rsidRPr="00CB2789" w:rsidRDefault="00CB2789" w:rsidP="00196FEC">
      <w:pPr>
        <w:spacing w:line="360" w:lineRule="auto"/>
        <w:jc w:val="both"/>
        <w:rPr>
          <w:rFonts w:ascii="-webkit-standard" w:eastAsia="Times New Roman" w:hAnsi="-webkit-standard"/>
          <w:color w:val="000000"/>
        </w:rPr>
      </w:pPr>
      <w:r w:rsidRPr="00CB2789">
        <w:rPr>
          <w:rFonts w:eastAsia="Times New Roman"/>
          <w:color w:val="111111"/>
          <w:shd w:val="clear" w:color="auto" w:fill="FFFFFF"/>
        </w:rPr>
        <w:lastRenderedPageBreak/>
        <w:t>[</w:t>
      </w:r>
      <w:r w:rsidR="000D4CA0">
        <w:rPr>
          <w:color w:val="111111"/>
          <w:shd w:val="clear" w:color="auto" w:fill="FFFFFF"/>
        </w:rPr>
        <w:t>8</w:t>
      </w:r>
      <w:r w:rsidRPr="00CB2789">
        <w:rPr>
          <w:rFonts w:eastAsia="Times New Roman"/>
          <w:color w:val="111111"/>
          <w:shd w:val="clear" w:color="auto" w:fill="FFFFFF"/>
        </w:rPr>
        <w:t>]</w:t>
      </w:r>
      <w:r w:rsidRPr="00CB2789">
        <w:rPr>
          <w:rFonts w:eastAsia="Times New Roman"/>
          <w:color w:val="111111"/>
          <w:shd w:val="clear" w:color="auto" w:fill="FFFFFF"/>
        </w:rPr>
        <w:tab/>
        <w:t xml:space="preserve">L’arrêt </w:t>
      </w:r>
      <w:proofErr w:type="spellStart"/>
      <w:r w:rsidRPr="00CB2789">
        <w:rPr>
          <w:rFonts w:eastAsia="Times New Roman"/>
          <w:i/>
          <w:iCs/>
          <w:color w:val="111111"/>
          <w:shd w:val="clear" w:color="auto" w:fill="FFFFFF"/>
        </w:rPr>
        <w:t>Gladue</w:t>
      </w:r>
      <w:proofErr w:type="spellEnd"/>
      <w:r w:rsidRPr="00CB2789">
        <w:rPr>
          <w:rFonts w:eastAsia="Times New Roman"/>
          <w:color w:val="111111"/>
          <w:shd w:val="clear" w:color="auto" w:fill="FFFFFF"/>
        </w:rPr>
        <w:t>, applicable partout au Canada, a instauré une méthode tenant compte de la situation particulière des Autochtones lors de l’évaluation de la peine pour une infraction crim</w:t>
      </w:r>
      <w:r w:rsidRPr="00CB2789">
        <w:rPr>
          <w:rFonts w:eastAsia="Times New Roman"/>
          <w:color w:val="111111"/>
        </w:rPr>
        <w:t>inelle</w:t>
      </w:r>
      <w:r>
        <w:rPr>
          <w:rStyle w:val="Appelnotedebasdep"/>
          <w:color w:val="111111"/>
        </w:rPr>
        <w:footnoteReference w:id="9"/>
      </w:r>
      <w:r w:rsidRPr="00CB2789">
        <w:rPr>
          <w:rFonts w:eastAsia="Times New Roman"/>
          <w:color w:val="111111"/>
        </w:rPr>
        <w:t>. Malgré que cet arrêt con</w:t>
      </w:r>
      <w:r w:rsidRPr="00CB2789">
        <w:rPr>
          <w:rFonts w:eastAsia="Times New Roman"/>
          <w:color w:val="111111"/>
          <w:shd w:val="clear" w:color="auto" w:fill="FFFFFF"/>
        </w:rPr>
        <w:t>stitue un pas vers l’avant pour les Québécois dans la reconnaissance de leurs torts et des imp</w:t>
      </w:r>
      <w:r w:rsidRPr="00CB2789">
        <w:rPr>
          <w:rFonts w:eastAsia="Times New Roman"/>
          <w:color w:val="111111"/>
        </w:rPr>
        <w:t>acts de ceux-ci, on pourrait qualif</w:t>
      </w:r>
      <w:r w:rsidRPr="00CB2789">
        <w:rPr>
          <w:rFonts w:eastAsia="Times New Roman"/>
          <w:color w:val="111111"/>
          <w:shd w:val="clear" w:color="auto" w:fill="FFFFFF"/>
        </w:rPr>
        <w:t>ier ce type de solution de demi-mesure</w:t>
      </w:r>
      <w:r>
        <w:rPr>
          <w:rStyle w:val="Appelnotedebasdep"/>
          <w:color w:val="111111"/>
          <w:shd w:val="clear" w:color="auto" w:fill="FFFFFF"/>
        </w:rPr>
        <w:footnoteReference w:id="10"/>
      </w:r>
      <w:r w:rsidRPr="00CB2789">
        <w:rPr>
          <w:rFonts w:eastAsia="Times New Roman"/>
          <w:color w:val="111111"/>
          <w:shd w:val="clear" w:color="auto" w:fill="FFFFFF"/>
        </w:rPr>
        <w:t xml:space="preserve">. </w:t>
      </w:r>
    </w:p>
    <w:p w14:paraId="478A3DCD" w14:textId="77777777" w:rsidR="00CB2789" w:rsidRPr="00CB2789" w:rsidRDefault="00CB2789" w:rsidP="00196FEC">
      <w:pPr>
        <w:spacing w:line="360" w:lineRule="auto"/>
        <w:rPr>
          <w:rFonts w:ascii="-webkit-standard" w:eastAsia="Times New Roman" w:hAnsi="-webkit-standard"/>
          <w:color w:val="000000"/>
        </w:rPr>
      </w:pPr>
    </w:p>
    <w:p w14:paraId="1CC287D6" w14:textId="39959A53" w:rsidR="005731EC" w:rsidRPr="00C41058" w:rsidRDefault="00CB2789" w:rsidP="00196FEC">
      <w:pPr>
        <w:spacing w:line="360" w:lineRule="auto"/>
        <w:jc w:val="both"/>
        <w:rPr>
          <w:color w:val="111111"/>
          <w:shd w:val="clear" w:color="auto" w:fill="FFFFFF"/>
        </w:rPr>
      </w:pPr>
      <w:r w:rsidRPr="00CB2789">
        <w:rPr>
          <w:rFonts w:eastAsia="Times New Roman"/>
          <w:color w:val="111111"/>
          <w:shd w:val="clear" w:color="auto" w:fill="FFFFFF"/>
        </w:rPr>
        <w:t>[</w:t>
      </w:r>
      <w:r w:rsidR="000D4CA0">
        <w:rPr>
          <w:color w:val="111111"/>
          <w:shd w:val="clear" w:color="auto" w:fill="FFFFFF"/>
        </w:rPr>
        <w:t>9</w:t>
      </w:r>
      <w:r w:rsidRPr="00CB2789">
        <w:rPr>
          <w:rFonts w:eastAsia="Times New Roman"/>
          <w:color w:val="111111"/>
          <w:shd w:val="clear" w:color="auto" w:fill="FFFFFF"/>
        </w:rPr>
        <w:t>]</w:t>
      </w:r>
      <w:r w:rsidRPr="00CB2789">
        <w:rPr>
          <w:rFonts w:eastAsia="Times New Roman"/>
          <w:color w:val="111111"/>
          <w:shd w:val="clear" w:color="auto" w:fill="FFFFFF"/>
        </w:rPr>
        <w:tab/>
        <w:t xml:space="preserve">Si les ambitions sociétales de réconciliation avec les peuples autochtones sont sincères, il faut aller plus loin. </w:t>
      </w:r>
      <w:r w:rsidRPr="00CB2789">
        <w:rPr>
          <w:rFonts w:eastAsia="Times New Roman"/>
          <w:color w:val="111111"/>
        </w:rPr>
        <w:t>L</w:t>
      </w:r>
      <w:r w:rsidRPr="00CB2789">
        <w:rPr>
          <w:rFonts w:eastAsia="Times New Roman"/>
          <w:color w:val="111111"/>
          <w:shd w:val="clear" w:color="auto" w:fill="FFFFFF"/>
        </w:rPr>
        <w:t xml:space="preserve">es </w:t>
      </w:r>
      <w:r w:rsidR="00130C69">
        <w:rPr>
          <w:rFonts w:eastAsia="Times New Roman"/>
          <w:color w:val="111111"/>
          <w:shd w:val="clear" w:color="auto" w:fill="FFFFFF"/>
        </w:rPr>
        <w:t>n</w:t>
      </w:r>
      <w:r w:rsidRPr="00CB2789">
        <w:rPr>
          <w:rFonts w:eastAsia="Times New Roman"/>
          <w:color w:val="111111"/>
          <w:shd w:val="clear" w:color="auto" w:fill="FFFFFF"/>
        </w:rPr>
        <w:t>ations autochtones doivent être reconnues comme méritant autodétermination dans les affaires les concernant</w:t>
      </w:r>
      <w:r>
        <w:rPr>
          <w:rStyle w:val="Appelnotedebasdep"/>
          <w:color w:val="111111"/>
          <w:shd w:val="clear" w:color="auto" w:fill="FFFFFF"/>
        </w:rPr>
        <w:footnoteReference w:id="11"/>
      </w:r>
      <w:r w:rsidRPr="00CB2789">
        <w:rPr>
          <w:rFonts w:eastAsia="Times New Roman"/>
          <w:color w:val="111111"/>
          <w:shd w:val="clear" w:color="auto" w:fill="FFFFFF"/>
        </w:rPr>
        <w:t>. Dans le cadre du projet</w:t>
      </w:r>
      <w:r w:rsidRPr="00CB2789">
        <w:rPr>
          <w:rFonts w:eastAsia="Times New Roman"/>
          <w:i/>
          <w:iCs/>
          <w:color w:val="111111"/>
          <w:shd w:val="clear" w:color="auto" w:fill="FFFFFF"/>
        </w:rPr>
        <w:t xml:space="preserve"> </w:t>
      </w:r>
      <w:proofErr w:type="gramStart"/>
      <w:r w:rsidRPr="00CB2789">
        <w:rPr>
          <w:rFonts w:eastAsia="Times New Roman"/>
          <w:i/>
          <w:iCs/>
          <w:color w:val="111111"/>
          <w:shd w:val="clear" w:color="auto" w:fill="FFFFFF"/>
        </w:rPr>
        <w:t>Constituons</w:t>
      </w:r>
      <w:r w:rsidR="004E66DF">
        <w:rPr>
          <w:rFonts w:eastAsia="Times New Roman"/>
          <w:i/>
          <w:iCs/>
          <w:color w:val="111111"/>
          <w:shd w:val="clear" w:color="auto" w:fill="FFFFFF"/>
        </w:rPr>
        <w:t> </w:t>
      </w:r>
      <w:r w:rsidRPr="00CB2789">
        <w:rPr>
          <w:rFonts w:eastAsia="Times New Roman"/>
          <w:i/>
          <w:iCs/>
          <w:color w:val="111111"/>
          <w:shd w:val="clear" w:color="auto" w:fill="FFFFFF"/>
        </w:rPr>
        <w:t>!</w:t>
      </w:r>
      <w:r w:rsidRPr="00CB2789">
        <w:rPr>
          <w:rFonts w:eastAsia="Times New Roman"/>
          <w:color w:val="111111"/>
          <w:shd w:val="clear" w:color="auto" w:fill="FFFFFF"/>
        </w:rPr>
        <w:t>,</w:t>
      </w:r>
      <w:proofErr w:type="gramEnd"/>
      <w:r w:rsidRPr="00CB2789">
        <w:rPr>
          <w:rFonts w:eastAsia="Times New Roman"/>
          <w:color w:val="111111"/>
          <w:shd w:val="clear" w:color="auto" w:fill="FFFFFF"/>
        </w:rPr>
        <w:t xml:space="preserve"> nous énonçons une solution intégrant substantiellement la justice autochtone à l’appareil judiciaire actuel. </w:t>
      </w:r>
    </w:p>
    <w:p w14:paraId="48DDCFA1" w14:textId="77777777" w:rsidR="00CB2789" w:rsidRPr="00FD4D34" w:rsidRDefault="00CB2789" w:rsidP="00196FEC">
      <w:pPr>
        <w:pStyle w:val="Titre1"/>
        <w:spacing w:line="360" w:lineRule="auto"/>
        <w:jc w:val="both"/>
        <w:rPr>
          <w:rFonts w:ascii="Times New Roman" w:hAnsi="Times New Roman" w:cs="Times New Roman"/>
          <w:b/>
          <w:color w:val="000000" w:themeColor="text1"/>
          <w:sz w:val="24"/>
          <w:szCs w:val="24"/>
        </w:rPr>
      </w:pPr>
      <w:bookmarkStart w:id="2" w:name="_Toc719095"/>
      <w:r w:rsidRPr="00FD4D34">
        <w:rPr>
          <w:rFonts w:ascii="Times New Roman" w:hAnsi="Times New Roman" w:cs="Times New Roman"/>
          <w:b/>
          <w:color w:val="000000" w:themeColor="text1"/>
          <w:sz w:val="24"/>
          <w:szCs w:val="24"/>
        </w:rPr>
        <w:t>3. Approche proposée</w:t>
      </w:r>
      <w:bookmarkEnd w:id="2"/>
    </w:p>
    <w:p w14:paraId="1A888A88" w14:textId="793E4264" w:rsidR="00674BC6" w:rsidRPr="00FD4D34" w:rsidRDefault="00674BC6" w:rsidP="00196FEC">
      <w:pPr>
        <w:pStyle w:val="Titre2"/>
        <w:spacing w:line="360" w:lineRule="auto"/>
        <w:rPr>
          <w:rFonts w:ascii="Times New Roman" w:hAnsi="Times New Roman" w:cs="Times New Roman"/>
          <w:b/>
          <w:color w:val="000000" w:themeColor="text1"/>
          <w:sz w:val="24"/>
          <w:szCs w:val="24"/>
        </w:rPr>
      </w:pPr>
      <w:bookmarkStart w:id="3" w:name="_Toc719096"/>
      <w:r w:rsidRPr="00FD4D34">
        <w:rPr>
          <w:rFonts w:ascii="Times New Roman" w:hAnsi="Times New Roman" w:cs="Times New Roman"/>
          <w:b/>
          <w:color w:val="000000" w:themeColor="text1"/>
          <w:sz w:val="24"/>
          <w:szCs w:val="24"/>
        </w:rPr>
        <w:t>3.1 Système parallèle pour les cours de première instance</w:t>
      </w:r>
      <w:bookmarkEnd w:id="3"/>
    </w:p>
    <w:p w14:paraId="35CED373" w14:textId="77777777" w:rsidR="00674BC6" w:rsidRDefault="00674BC6" w:rsidP="00196FEC">
      <w:pPr>
        <w:spacing w:line="360" w:lineRule="auto"/>
      </w:pPr>
    </w:p>
    <w:p w14:paraId="0C0F7B86" w14:textId="77D988CA" w:rsidR="00674BC6" w:rsidRPr="00674BC6" w:rsidRDefault="00674BC6" w:rsidP="00196FEC">
      <w:pPr>
        <w:spacing w:line="360" w:lineRule="auto"/>
        <w:jc w:val="both"/>
        <w:rPr>
          <w:rFonts w:eastAsia="Times New Roman"/>
          <w:lang w:eastAsia="fr-CA"/>
        </w:rPr>
      </w:pPr>
      <w:r w:rsidRPr="00674BC6">
        <w:rPr>
          <w:rFonts w:eastAsia="Times New Roman"/>
          <w:color w:val="111111"/>
          <w:shd w:val="clear" w:color="auto" w:fill="FFFFFF"/>
          <w:lang w:eastAsia="fr-CA"/>
        </w:rPr>
        <w:t>[</w:t>
      </w:r>
      <w:r w:rsidR="000D4CA0">
        <w:rPr>
          <w:color w:val="111111"/>
          <w:shd w:val="clear" w:color="auto" w:fill="FFFFFF"/>
          <w:lang w:eastAsia="fr-CA"/>
        </w:rPr>
        <w:t>10</w:t>
      </w:r>
      <w:r w:rsidRPr="00674BC6">
        <w:rPr>
          <w:rFonts w:eastAsia="Times New Roman"/>
          <w:color w:val="111111"/>
          <w:shd w:val="clear" w:color="auto" w:fill="FFFFFF"/>
          <w:lang w:eastAsia="fr-CA"/>
        </w:rPr>
        <w:t>]</w:t>
      </w:r>
      <w:r w:rsidRPr="00674BC6">
        <w:rPr>
          <w:rFonts w:eastAsia="Times New Roman"/>
          <w:color w:val="111111"/>
          <w:shd w:val="clear" w:color="auto" w:fill="FFFFFF"/>
          <w:lang w:eastAsia="fr-CA"/>
        </w:rPr>
        <w:tab/>
        <w:t xml:space="preserve">Tout d’abord, nous proposons la création de tribunaux parallèles qui appliqueront le droit autochtone en première instance au Québec. Chacune des dix nations amérindiennes et la nation </w:t>
      </w:r>
      <w:proofErr w:type="spellStart"/>
      <w:r w:rsidRPr="00674BC6">
        <w:rPr>
          <w:rFonts w:eastAsia="Times New Roman"/>
          <w:color w:val="111111"/>
          <w:shd w:val="clear" w:color="auto" w:fill="FFFFFF"/>
          <w:lang w:eastAsia="fr-CA"/>
        </w:rPr>
        <w:t>inuite</w:t>
      </w:r>
      <w:proofErr w:type="spellEnd"/>
      <w:r w:rsidRPr="00674BC6">
        <w:rPr>
          <w:rFonts w:eastAsia="Times New Roman"/>
          <w:color w:val="111111"/>
          <w:shd w:val="clear" w:color="auto" w:fill="FFFFFF"/>
          <w:lang w:eastAsia="fr-CA"/>
        </w:rPr>
        <w:t xml:space="preserve"> possèderont leur propre cour</w:t>
      </w:r>
      <w:r>
        <w:rPr>
          <w:rStyle w:val="Appelnotedebasdep"/>
          <w:color w:val="111111"/>
          <w:shd w:val="clear" w:color="auto" w:fill="FFFFFF"/>
          <w:lang w:eastAsia="fr-CA"/>
        </w:rPr>
        <w:footnoteReference w:id="12"/>
      </w:r>
      <w:r w:rsidRPr="00674BC6">
        <w:rPr>
          <w:rFonts w:eastAsia="Times New Roman"/>
          <w:color w:val="111111"/>
          <w:shd w:val="clear" w:color="auto" w:fill="FFFFFF"/>
          <w:lang w:eastAsia="fr-CA"/>
        </w:rPr>
        <w:t>. Ces dernières seront financées par le gouvernement du Québec et administrées par les nations autochtones. Les nations seront responsables, entre autres, de nommer les</w:t>
      </w:r>
      <w:r w:rsidRPr="00674BC6">
        <w:rPr>
          <w:rFonts w:eastAsia="Times New Roman"/>
          <w:color w:val="111111"/>
          <w:lang w:eastAsia="fr-CA"/>
        </w:rPr>
        <w:t xml:space="preserve"> juges et les procureurs, ainsi que de mettre sur pied leur système de justice.</w:t>
      </w:r>
    </w:p>
    <w:p w14:paraId="49028923" w14:textId="77777777" w:rsidR="00674BC6" w:rsidRPr="00674BC6" w:rsidRDefault="00674BC6" w:rsidP="00196FEC">
      <w:pPr>
        <w:spacing w:line="360" w:lineRule="auto"/>
        <w:rPr>
          <w:rFonts w:eastAsia="Times New Roman"/>
          <w:lang w:eastAsia="fr-CA"/>
        </w:rPr>
      </w:pPr>
    </w:p>
    <w:p w14:paraId="0153EC2B" w14:textId="6F61B3BA" w:rsidR="00674BC6" w:rsidRPr="00674BC6" w:rsidRDefault="00674BC6" w:rsidP="00196FEC">
      <w:pPr>
        <w:spacing w:line="360" w:lineRule="auto"/>
        <w:jc w:val="both"/>
        <w:rPr>
          <w:rFonts w:eastAsia="Times New Roman"/>
          <w:lang w:eastAsia="fr-CA"/>
        </w:rPr>
      </w:pPr>
      <w:r w:rsidRPr="00674BC6">
        <w:rPr>
          <w:rFonts w:eastAsia="Times New Roman"/>
          <w:color w:val="111111"/>
          <w:shd w:val="clear" w:color="auto" w:fill="FFFFFF"/>
          <w:lang w:eastAsia="fr-CA"/>
        </w:rPr>
        <w:t>[</w:t>
      </w:r>
      <w:r w:rsidR="000D4CA0">
        <w:rPr>
          <w:color w:val="111111"/>
          <w:shd w:val="clear" w:color="auto" w:fill="FFFFFF"/>
          <w:lang w:eastAsia="fr-CA"/>
        </w:rPr>
        <w:t>11</w:t>
      </w:r>
      <w:r w:rsidRPr="00674BC6">
        <w:rPr>
          <w:rFonts w:eastAsia="Times New Roman"/>
          <w:color w:val="111111"/>
          <w:shd w:val="clear" w:color="auto" w:fill="FFFFFF"/>
          <w:lang w:eastAsia="fr-CA"/>
        </w:rPr>
        <w:t>]</w:t>
      </w:r>
      <w:r w:rsidRPr="00674BC6">
        <w:rPr>
          <w:rFonts w:eastAsia="Times New Roman"/>
          <w:color w:val="111111"/>
          <w:shd w:val="clear" w:color="auto" w:fill="FFFFFF"/>
          <w:lang w:eastAsia="fr-CA"/>
        </w:rPr>
        <w:tab/>
        <w:t>Lorsqu’il s’agira de droit criminel, les tribuna</w:t>
      </w:r>
      <w:r w:rsidRPr="00674BC6">
        <w:rPr>
          <w:rFonts w:eastAsia="Times New Roman"/>
          <w:color w:val="111111"/>
          <w:lang w:eastAsia="fr-CA"/>
        </w:rPr>
        <w:t xml:space="preserve">ux appliqueront le </w:t>
      </w:r>
      <w:r w:rsidRPr="00674BC6">
        <w:rPr>
          <w:rFonts w:eastAsia="Times New Roman"/>
          <w:color w:val="111111"/>
          <w:shd w:val="clear" w:color="auto" w:fill="FFFFFF"/>
          <w:lang w:eastAsia="fr-CA"/>
        </w:rPr>
        <w:t xml:space="preserve">droit mis en place par la nation de l’accusé. Pour tout autre type de litige, le droit applicable sera déterminé par les parties ou </w:t>
      </w:r>
      <w:r w:rsidRPr="00674BC6">
        <w:rPr>
          <w:rFonts w:eastAsia="Times New Roman"/>
          <w:color w:val="111111"/>
          <w:lang w:eastAsia="fr-CA"/>
        </w:rPr>
        <w:t>en fonction du territoir</w:t>
      </w:r>
      <w:r w:rsidRPr="00674BC6">
        <w:rPr>
          <w:rFonts w:eastAsia="Times New Roman"/>
          <w:color w:val="111111"/>
          <w:shd w:val="clear" w:color="auto" w:fill="FFFFFF"/>
          <w:lang w:eastAsia="fr-CA"/>
        </w:rPr>
        <w:t>e sur lequel le préjud</w:t>
      </w:r>
      <w:r w:rsidRPr="00674BC6">
        <w:rPr>
          <w:rFonts w:eastAsia="Times New Roman"/>
          <w:color w:val="111111"/>
          <w:lang w:eastAsia="fr-CA"/>
        </w:rPr>
        <w:t xml:space="preserve">ice aura eu lieu. </w:t>
      </w:r>
    </w:p>
    <w:p w14:paraId="0B97E90B" w14:textId="77777777" w:rsidR="00674BC6" w:rsidRPr="00674BC6" w:rsidRDefault="00674BC6" w:rsidP="00196FEC">
      <w:pPr>
        <w:spacing w:line="360" w:lineRule="auto"/>
        <w:jc w:val="both"/>
        <w:rPr>
          <w:rFonts w:eastAsia="Times New Roman"/>
          <w:lang w:eastAsia="fr-CA"/>
        </w:rPr>
      </w:pPr>
      <w:r w:rsidRPr="00674BC6">
        <w:rPr>
          <w:rFonts w:eastAsia="Times New Roman"/>
          <w:color w:val="111111"/>
          <w:shd w:val="clear" w:color="auto" w:fill="FFFFFF"/>
          <w:lang w:eastAsia="fr-CA"/>
        </w:rPr>
        <w:t xml:space="preserve"> </w:t>
      </w:r>
    </w:p>
    <w:p w14:paraId="5DD4000C" w14:textId="0D1948FB" w:rsidR="00674BC6" w:rsidRPr="00674BC6" w:rsidRDefault="00674BC6" w:rsidP="00196FEC">
      <w:pPr>
        <w:spacing w:line="360" w:lineRule="auto"/>
        <w:jc w:val="both"/>
        <w:rPr>
          <w:rFonts w:eastAsia="Times New Roman"/>
          <w:lang w:eastAsia="fr-CA"/>
        </w:rPr>
      </w:pPr>
      <w:r w:rsidRPr="00674BC6">
        <w:rPr>
          <w:rFonts w:eastAsia="Times New Roman"/>
          <w:color w:val="111111"/>
          <w:shd w:val="clear" w:color="auto" w:fill="FFFFFF"/>
          <w:lang w:eastAsia="fr-CA"/>
        </w:rPr>
        <w:lastRenderedPageBreak/>
        <w:t>[</w:t>
      </w:r>
      <w:r w:rsidR="000D4CA0">
        <w:rPr>
          <w:color w:val="111111"/>
          <w:shd w:val="clear" w:color="auto" w:fill="FFFFFF"/>
          <w:lang w:eastAsia="fr-CA"/>
        </w:rPr>
        <w:t>12</w:t>
      </w:r>
      <w:r w:rsidRPr="00674BC6">
        <w:rPr>
          <w:rFonts w:eastAsia="Times New Roman"/>
          <w:color w:val="111111"/>
          <w:shd w:val="clear" w:color="auto" w:fill="FFFFFF"/>
          <w:lang w:eastAsia="fr-CA"/>
        </w:rPr>
        <w:t>]</w:t>
      </w:r>
      <w:r w:rsidRPr="00674BC6">
        <w:rPr>
          <w:rFonts w:eastAsia="Times New Roman"/>
          <w:color w:val="111111"/>
          <w:shd w:val="clear" w:color="auto" w:fill="FFFFFF"/>
          <w:lang w:eastAsia="fr-CA"/>
        </w:rPr>
        <w:tab/>
        <w:t xml:space="preserve">Nous nous inspirons du Mohawk Council of </w:t>
      </w:r>
      <w:proofErr w:type="spellStart"/>
      <w:r w:rsidRPr="00674BC6">
        <w:rPr>
          <w:rFonts w:eastAsia="Times New Roman"/>
          <w:color w:val="111111"/>
          <w:shd w:val="clear" w:color="auto" w:fill="FFFFFF"/>
          <w:lang w:eastAsia="fr-CA"/>
        </w:rPr>
        <w:t>Akwesasne</w:t>
      </w:r>
      <w:proofErr w:type="spellEnd"/>
      <w:r w:rsidRPr="00674BC6">
        <w:rPr>
          <w:rFonts w:eastAsia="Times New Roman"/>
          <w:color w:val="111111"/>
          <w:shd w:val="clear" w:color="auto" w:fill="FFFFFF"/>
          <w:lang w:eastAsia="fr-CA"/>
        </w:rPr>
        <w:t>, premier système de justice autochtone au Canada élaboré indépendamment d’Ottawa</w:t>
      </w:r>
      <w:r>
        <w:rPr>
          <w:rStyle w:val="Appelnotedebasdep"/>
          <w:color w:val="111111"/>
          <w:shd w:val="clear" w:color="auto" w:fill="FFFFFF"/>
          <w:lang w:eastAsia="fr-CA"/>
        </w:rPr>
        <w:footnoteReference w:id="13"/>
      </w:r>
      <w:r w:rsidRPr="00674BC6">
        <w:rPr>
          <w:rFonts w:eastAsia="Times New Roman"/>
          <w:color w:val="111111"/>
          <w:shd w:val="clear" w:color="auto" w:fill="FFFFFF"/>
          <w:lang w:eastAsia="fr-CA"/>
        </w:rPr>
        <w:t>. Ce système se base sur le droit coutumier et intègre les principes traditionnels de justice restaurat</w:t>
      </w:r>
      <w:r w:rsidR="00C41058">
        <w:rPr>
          <w:rFonts w:eastAsia="Times New Roman"/>
          <w:color w:val="111111"/>
          <w:shd w:val="clear" w:color="auto" w:fill="FFFFFF"/>
          <w:lang w:eastAsia="fr-CA"/>
        </w:rPr>
        <w:t>ric</w:t>
      </w:r>
      <w:r w:rsidRPr="00674BC6">
        <w:rPr>
          <w:rFonts w:eastAsia="Times New Roman"/>
          <w:color w:val="111111"/>
          <w:shd w:val="clear" w:color="auto" w:fill="FFFFFF"/>
          <w:lang w:eastAsia="fr-CA"/>
        </w:rPr>
        <w:t>e</w:t>
      </w:r>
      <w:r>
        <w:rPr>
          <w:rStyle w:val="Appelnotedebasdep"/>
          <w:color w:val="111111"/>
          <w:shd w:val="clear" w:color="auto" w:fill="FFFFFF"/>
          <w:lang w:eastAsia="fr-CA"/>
        </w:rPr>
        <w:footnoteReference w:id="14"/>
      </w:r>
      <w:r w:rsidRPr="00674BC6">
        <w:rPr>
          <w:rFonts w:eastAsia="Times New Roman"/>
          <w:color w:val="111111"/>
          <w:shd w:val="clear" w:color="auto" w:fill="FFFFFF"/>
          <w:lang w:eastAsia="fr-CA"/>
        </w:rPr>
        <w:t>. Il vise à rétablir les relations entre les membres de la communauté et s’attarde à la manière dont le malfaiteur pourrait bénéficier à la vie en société, plutôt que de se concentrer sur la façon dont il pourrait être pun</w:t>
      </w:r>
      <w:r w:rsidRPr="00674BC6">
        <w:rPr>
          <w:rFonts w:eastAsia="Times New Roman"/>
          <w:color w:val="111111"/>
          <w:lang w:eastAsia="fr-CA"/>
        </w:rPr>
        <w:t>i</w:t>
      </w:r>
      <w:r>
        <w:rPr>
          <w:rStyle w:val="Appelnotedebasdep"/>
          <w:color w:val="111111"/>
          <w:lang w:eastAsia="fr-CA"/>
        </w:rPr>
        <w:footnoteReference w:id="15"/>
      </w:r>
      <w:r w:rsidRPr="00674BC6">
        <w:rPr>
          <w:rFonts w:eastAsia="Times New Roman"/>
          <w:color w:val="111111"/>
          <w:lang w:eastAsia="fr-CA"/>
        </w:rPr>
        <w:t>.</w:t>
      </w:r>
    </w:p>
    <w:p w14:paraId="2912A26B" w14:textId="77777777" w:rsidR="00674BC6" w:rsidRPr="00674BC6" w:rsidRDefault="00674BC6" w:rsidP="00196FEC">
      <w:pPr>
        <w:spacing w:line="360" w:lineRule="auto"/>
        <w:rPr>
          <w:rFonts w:eastAsia="Times New Roman"/>
          <w:lang w:eastAsia="fr-CA"/>
        </w:rPr>
      </w:pPr>
    </w:p>
    <w:p w14:paraId="4AED9AC4" w14:textId="142BA141" w:rsidR="00674BC6" w:rsidRPr="00674BC6" w:rsidRDefault="00674BC6" w:rsidP="00196FEC">
      <w:pPr>
        <w:spacing w:line="360" w:lineRule="auto"/>
        <w:jc w:val="both"/>
        <w:rPr>
          <w:rFonts w:eastAsia="Times New Roman"/>
          <w:lang w:eastAsia="fr-CA"/>
        </w:rPr>
      </w:pPr>
      <w:r w:rsidRPr="00674BC6">
        <w:rPr>
          <w:rFonts w:eastAsia="Times New Roman"/>
          <w:color w:val="111111"/>
          <w:shd w:val="clear" w:color="auto" w:fill="FFFFFF"/>
          <w:lang w:eastAsia="fr-CA"/>
        </w:rPr>
        <w:t>[</w:t>
      </w:r>
      <w:r w:rsidR="000D4CA0">
        <w:rPr>
          <w:color w:val="111111"/>
          <w:shd w:val="clear" w:color="auto" w:fill="FFFFFF"/>
          <w:lang w:eastAsia="fr-CA"/>
        </w:rPr>
        <w:t>13</w:t>
      </w:r>
      <w:r w:rsidRPr="00674BC6">
        <w:rPr>
          <w:rFonts w:eastAsia="Times New Roman"/>
          <w:color w:val="111111"/>
          <w:shd w:val="clear" w:color="auto" w:fill="FFFFFF"/>
          <w:lang w:eastAsia="fr-CA"/>
        </w:rPr>
        <w:t>]</w:t>
      </w:r>
      <w:r w:rsidRPr="00674BC6">
        <w:rPr>
          <w:rFonts w:eastAsia="Times New Roman"/>
          <w:color w:val="111111"/>
          <w:shd w:val="clear" w:color="auto" w:fill="FFFFFF"/>
          <w:lang w:eastAsia="fr-CA"/>
        </w:rPr>
        <w:tab/>
        <w:t xml:space="preserve">Comme pour le Mohawk Council of </w:t>
      </w:r>
      <w:proofErr w:type="spellStart"/>
      <w:r w:rsidRPr="00674BC6">
        <w:rPr>
          <w:rFonts w:eastAsia="Times New Roman"/>
          <w:color w:val="111111"/>
          <w:shd w:val="clear" w:color="auto" w:fill="FFFFFF"/>
          <w:lang w:eastAsia="fr-CA"/>
        </w:rPr>
        <w:t>Akwesasne</w:t>
      </w:r>
      <w:proofErr w:type="spellEnd"/>
      <w:r w:rsidRPr="00674BC6">
        <w:rPr>
          <w:rFonts w:eastAsia="Times New Roman"/>
          <w:color w:val="111111"/>
          <w:shd w:val="clear" w:color="auto" w:fill="FFFFFF"/>
          <w:lang w:eastAsia="fr-CA"/>
        </w:rPr>
        <w:t>, les plaignants plaideront devant un juge originaire d’une communauté appartenant à la nation autochtone en cause</w:t>
      </w:r>
      <w:r>
        <w:rPr>
          <w:rStyle w:val="Appelnotedebasdep"/>
          <w:color w:val="111111"/>
          <w:shd w:val="clear" w:color="auto" w:fill="FFFFFF"/>
          <w:lang w:eastAsia="fr-CA"/>
        </w:rPr>
        <w:footnoteReference w:id="16"/>
      </w:r>
      <w:r w:rsidRPr="00674BC6">
        <w:rPr>
          <w:rFonts w:eastAsia="Times New Roman"/>
          <w:color w:val="111111"/>
          <w:shd w:val="clear" w:color="auto" w:fill="FFFFFF"/>
          <w:lang w:eastAsia="fr-CA"/>
        </w:rPr>
        <w:t>. Les juges seront choisis par un comité formé d’aînés et devront répondre à certains critères, dont «</w:t>
      </w:r>
      <w:r w:rsidR="004E66DF">
        <w:rPr>
          <w:rFonts w:eastAsia="Times New Roman"/>
          <w:color w:val="111111"/>
          <w:shd w:val="clear" w:color="auto" w:fill="FFFFFF"/>
          <w:lang w:eastAsia="fr-CA"/>
        </w:rPr>
        <w:t> </w:t>
      </w:r>
      <w:r w:rsidRPr="00674BC6">
        <w:rPr>
          <w:rFonts w:eastAsia="Times New Roman"/>
          <w:color w:val="111111"/>
          <w:shd w:val="clear" w:color="auto" w:fill="FFFFFF"/>
          <w:lang w:eastAsia="fr-CA"/>
        </w:rPr>
        <w:t>avoir un bon caractère, une bonne crédibilité et une bonne réputation dans leur communauté</w:t>
      </w:r>
      <w:r w:rsidR="004E66DF">
        <w:rPr>
          <w:rFonts w:eastAsia="Times New Roman"/>
          <w:color w:val="111111"/>
          <w:shd w:val="clear" w:color="auto" w:fill="FFFFFF"/>
          <w:lang w:eastAsia="fr-CA"/>
        </w:rPr>
        <w:t> </w:t>
      </w:r>
      <w:r w:rsidRPr="00674BC6">
        <w:rPr>
          <w:rFonts w:eastAsia="Times New Roman"/>
          <w:color w:val="111111"/>
          <w:shd w:val="clear" w:color="auto" w:fill="FFFFFF"/>
          <w:lang w:eastAsia="fr-CA"/>
        </w:rPr>
        <w:t>»</w:t>
      </w:r>
      <w:r>
        <w:rPr>
          <w:rStyle w:val="Appelnotedebasdep"/>
          <w:color w:val="111111"/>
          <w:shd w:val="clear" w:color="auto" w:fill="FFFFFF"/>
          <w:lang w:eastAsia="fr-CA"/>
        </w:rPr>
        <w:footnoteReference w:id="17"/>
      </w:r>
      <w:r w:rsidRPr="00674BC6">
        <w:rPr>
          <w:rFonts w:eastAsia="Times New Roman"/>
          <w:color w:val="111111"/>
          <w:shd w:val="clear" w:color="auto" w:fill="FFFFFF"/>
          <w:lang w:eastAsia="fr-CA"/>
        </w:rPr>
        <w:t>. Quant aux procureurs, aucun diplôme de droit ne sera requis, mais une éducation postsecondaire ou une expérience de travail reliée au droit sera nécessaire</w:t>
      </w:r>
      <w:r>
        <w:rPr>
          <w:rStyle w:val="Appelnotedebasdep"/>
          <w:color w:val="111111"/>
          <w:shd w:val="clear" w:color="auto" w:fill="FFFFFF"/>
          <w:lang w:eastAsia="fr-CA"/>
        </w:rPr>
        <w:footnoteReference w:id="18"/>
      </w:r>
      <w:r w:rsidRPr="00674BC6">
        <w:rPr>
          <w:rFonts w:eastAsia="Times New Roman"/>
          <w:color w:val="111111"/>
          <w:lang w:eastAsia="fr-CA"/>
        </w:rPr>
        <w:t>.</w:t>
      </w:r>
      <w:r w:rsidRPr="00674BC6">
        <w:rPr>
          <w:rFonts w:eastAsia="Times New Roman"/>
          <w:color w:val="111111"/>
          <w:shd w:val="clear" w:color="auto" w:fill="FFFF00"/>
          <w:lang w:eastAsia="fr-CA"/>
        </w:rPr>
        <w:t xml:space="preserve"> </w:t>
      </w:r>
    </w:p>
    <w:p w14:paraId="18573E60" w14:textId="77777777" w:rsidR="00674BC6" w:rsidRPr="00674BC6" w:rsidRDefault="00674BC6" w:rsidP="00196FEC">
      <w:pPr>
        <w:spacing w:line="360" w:lineRule="auto"/>
        <w:jc w:val="both"/>
        <w:rPr>
          <w:rFonts w:eastAsia="Times New Roman"/>
          <w:lang w:eastAsia="fr-CA"/>
        </w:rPr>
      </w:pPr>
      <w:r w:rsidRPr="00674BC6">
        <w:rPr>
          <w:rFonts w:eastAsia="Times New Roman"/>
          <w:color w:val="111111"/>
          <w:shd w:val="clear" w:color="auto" w:fill="FFFFFF"/>
          <w:lang w:eastAsia="fr-CA"/>
        </w:rPr>
        <w:t xml:space="preserve"> </w:t>
      </w:r>
    </w:p>
    <w:p w14:paraId="6600B54D" w14:textId="73B3E7A9" w:rsidR="00674BC6" w:rsidRPr="00674BC6" w:rsidRDefault="00674BC6" w:rsidP="00196FEC">
      <w:pPr>
        <w:spacing w:line="360" w:lineRule="auto"/>
        <w:jc w:val="both"/>
        <w:rPr>
          <w:rFonts w:eastAsia="Times New Roman"/>
          <w:lang w:eastAsia="fr-CA"/>
        </w:rPr>
      </w:pPr>
      <w:r w:rsidRPr="00674BC6">
        <w:rPr>
          <w:rFonts w:eastAsia="Times New Roman"/>
          <w:color w:val="111111"/>
          <w:shd w:val="clear" w:color="auto" w:fill="FFFFFF"/>
          <w:lang w:eastAsia="fr-CA"/>
        </w:rPr>
        <w:t>[</w:t>
      </w:r>
      <w:r w:rsidR="000D4CA0">
        <w:rPr>
          <w:color w:val="111111"/>
          <w:shd w:val="clear" w:color="auto" w:fill="FFFFFF"/>
          <w:lang w:eastAsia="fr-CA"/>
        </w:rPr>
        <w:t>14</w:t>
      </w:r>
      <w:r w:rsidRPr="00674BC6">
        <w:rPr>
          <w:rFonts w:eastAsia="Times New Roman"/>
          <w:color w:val="111111"/>
          <w:shd w:val="clear" w:color="auto" w:fill="FFFFFF"/>
          <w:lang w:eastAsia="fr-CA"/>
        </w:rPr>
        <w:t>]</w:t>
      </w:r>
      <w:r w:rsidRPr="00674BC6">
        <w:rPr>
          <w:rFonts w:eastAsia="Times New Roman"/>
          <w:color w:val="111111"/>
          <w:shd w:val="clear" w:color="auto" w:fill="FFFFFF"/>
          <w:lang w:eastAsia="fr-CA"/>
        </w:rPr>
        <w:tab/>
        <w:t>En définitive, la création de tels tribunaux permettra de réconcilier les Autochtones avec la justice en leur assurant un contrôle sur les affaires juridiques les concernant. En effet, leurs valeurs fondamentales, telles que la restauration des relations entre les membres de la communauté</w:t>
      </w:r>
      <w:r w:rsidR="007E732C">
        <w:rPr>
          <w:color w:val="111111"/>
          <w:shd w:val="clear" w:color="auto" w:fill="FFFFFF"/>
          <w:lang w:eastAsia="fr-CA"/>
        </w:rPr>
        <w:t xml:space="preserve">, </w:t>
      </w:r>
      <w:r w:rsidR="007E732C" w:rsidRPr="00674BC6">
        <w:rPr>
          <w:rFonts w:eastAsia="Times New Roman"/>
          <w:color w:val="111111"/>
          <w:shd w:val="clear" w:color="auto" w:fill="FFFFFF"/>
          <w:lang w:eastAsia="fr-CA"/>
        </w:rPr>
        <w:t>seront davantage respectées que dans le système actuel</w:t>
      </w:r>
      <w:r>
        <w:rPr>
          <w:rStyle w:val="Appelnotedebasdep"/>
          <w:color w:val="111111"/>
          <w:shd w:val="clear" w:color="auto" w:fill="FFFFFF"/>
          <w:lang w:eastAsia="fr-CA"/>
        </w:rPr>
        <w:footnoteReference w:id="19"/>
      </w:r>
      <w:r w:rsidR="007E732C">
        <w:rPr>
          <w:color w:val="111111"/>
          <w:shd w:val="clear" w:color="auto" w:fill="FFFFFF"/>
          <w:lang w:eastAsia="fr-CA"/>
        </w:rPr>
        <w:t>.</w:t>
      </w:r>
    </w:p>
    <w:p w14:paraId="5A92B905" w14:textId="0316E1C8" w:rsidR="00674BC6" w:rsidRDefault="00674BC6" w:rsidP="00196FEC">
      <w:pPr>
        <w:spacing w:line="360" w:lineRule="auto"/>
        <w:rPr>
          <w:lang w:eastAsia="fr-CA"/>
        </w:rPr>
      </w:pPr>
      <w:r w:rsidRPr="00674BC6">
        <w:rPr>
          <w:rFonts w:eastAsia="Times New Roman"/>
          <w:color w:val="111111"/>
          <w:sz w:val="20"/>
          <w:szCs w:val="20"/>
          <w:shd w:val="clear" w:color="auto" w:fill="FFFFFF"/>
          <w:lang w:eastAsia="fr-CA"/>
        </w:rPr>
        <w:t xml:space="preserve"> </w:t>
      </w:r>
    </w:p>
    <w:p w14:paraId="6485E4B3" w14:textId="6739F73D" w:rsidR="00674BC6" w:rsidRPr="00FD4D34" w:rsidRDefault="00674BC6" w:rsidP="00196FEC">
      <w:pPr>
        <w:pStyle w:val="Titre2"/>
        <w:spacing w:line="360" w:lineRule="auto"/>
        <w:rPr>
          <w:rFonts w:ascii="Times New Roman" w:hAnsi="Times New Roman" w:cs="Times New Roman"/>
          <w:b/>
          <w:color w:val="000000" w:themeColor="text1"/>
          <w:sz w:val="24"/>
          <w:szCs w:val="24"/>
        </w:rPr>
      </w:pPr>
      <w:bookmarkStart w:id="4" w:name="_Toc719097"/>
      <w:r w:rsidRPr="00FD4D34">
        <w:rPr>
          <w:rFonts w:ascii="Times New Roman" w:hAnsi="Times New Roman" w:cs="Times New Roman"/>
          <w:b/>
          <w:color w:val="000000" w:themeColor="text1"/>
          <w:sz w:val="24"/>
          <w:szCs w:val="24"/>
        </w:rPr>
        <w:t xml:space="preserve">3.2 Système </w:t>
      </w:r>
      <w:r w:rsidRPr="00FD4D34">
        <w:rPr>
          <w:rFonts w:ascii="Times New Roman" w:hAnsi="Times New Roman" w:cs="Times New Roman"/>
          <w:b/>
          <w:i/>
          <w:color w:val="000000" w:themeColor="text1"/>
          <w:sz w:val="24"/>
          <w:szCs w:val="24"/>
        </w:rPr>
        <w:t>ad hoc</w:t>
      </w:r>
      <w:r w:rsidRPr="00FD4D34">
        <w:rPr>
          <w:rFonts w:ascii="Times New Roman" w:hAnsi="Times New Roman" w:cs="Times New Roman"/>
          <w:b/>
          <w:color w:val="000000" w:themeColor="text1"/>
          <w:sz w:val="24"/>
          <w:szCs w:val="24"/>
        </w:rPr>
        <w:t xml:space="preserve"> en Cour d’appel pour les peuples autochtones</w:t>
      </w:r>
      <w:bookmarkEnd w:id="4"/>
    </w:p>
    <w:p w14:paraId="46A8CA38" w14:textId="77777777" w:rsidR="00ED6815" w:rsidRDefault="00ED6815" w:rsidP="00196FEC">
      <w:pPr>
        <w:spacing w:line="360" w:lineRule="auto"/>
        <w:ind w:left="360"/>
      </w:pPr>
    </w:p>
    <w:p w14:paraId="16261691" w14:textId="7AC21682" w:rsidR="00ED6815" w:rsidRDefault="00ED6815" w:rsidP="00196FEC">
      <w:pPr>
        <w:spacing w:line="360" w:lineRule="auto"/>
        <w:jc w:val="both"/>
        <w:rPr>
          <w:rFonts w:eastAsia="Times New Roman"/>
          <w:color w:val="000000"/>
          <w:shd w:val="clear" w:color="auto" w:fill="FFFFFF"/>
          <w:lang w:val="fr-CA"/>
        </w:rPr>
      </w:pPr>
      <w:r>
        <w:rPr>
          <w:rFonts w:eastAsia="Times New Roman"/>
          <w:color w:val="000000"/>
          <w:shd w:val="clear" w:color="auto" w:fill="FFFFFF"/>
          <w:lang w:val="fr-CA"/>
        </w:rPr>
        <w:t>[</w:t>
      </w:r>
      <w:r w:rsidR="000D4CA0">
        <w:rPr>
          <w:color w:val="000000"/>
          <w:shd w:val="clear" w:color="auto" w:fill="FFFFFF"/>
          <w:lang w:val="fr-CA"/>
        </w:rPr>
        <w:t>15</w:t>
      </w:r>
      <w:r>
        <w:rPr>
          <w:rFonts w:eastAsia="Times New Roman"/>
          <w:color w:val="000000"/>
          <w:shd w:val="clear" w:color="auto" w:fill="FFFFFF"/>
          <w:lang w:val="fr-CA"/>
        </w:rPr>
        <w:t>]</w:t>
      </w:r>
      <w:r>
        <w:rPr>
          <w:rFonts w:eastAsia="Times New Roman"/>
          <w:color w:val="000000"/>
          <w:shd w:val="clear" w:color="auto" w:fill="FFFFFF"/>
          <w:lang w:val="fr-CA"/>
        </w:rPr>
        <w:tab/>
      </w:r>
      <w:r w:rsidRPr="00AD353E">
        <w:rPr>
          <w:rFonts w:eastAsia="Times New Roman"/>
          <w:color w:val="000000"/>
          <w:shd w:val="clear" w:color="auto" w:fill="FFFFFF"/>
          <w:lang w:val="fr-CA"/>
        </w:rPr>
        <w:t xml:space="preserve">Pour ce qui est des cours d’appel, nous proposons un système adapté de juges </w:t>
      </w:r>
      <w:r w:rsidRPr="00AD353E">
        <w:rPr>
          <w:rFonts w:eastAsia="Times New Roman"/>
          <w:i/>
          <w:iCs/>
          <w:color w:val="000000"/>
          <w:shd w:val="clear" w:color="auto" w:fill="FFFFFF"/>
          <w:lang w:val="fr-CA"/>
        </w:rPr>
        <w:t>ad hoc</w:t>
      </w:r>
      <w:r w:rsidRPr="00AD353E">
        <w:rPr>
          <w:rFonts w:eastAsia="Times New Roman"/>
          <w:color w:val="000000"/>
          <w:shd w:val="clear" w:color="auto" w:fill="FFFFFF"/>
          <w:lang w:val="fr-CA"/>
        </w:rPr>
        <w:t xml:space="preserve">. Ce système permet aux parties de désigner des juges temporaires qui siègent à la Cour auprès des juges permanents dans le cadre de la résolution d’un conflit précis. Ce modèle a pour but d’offrir </w:t>
      </w:r>
      <w:r w:rsidRPr="00AD353E">
        <w:rPr>
          <w:rFonts w:eastAsia="Times New Roman"/>
          <w:color w:val="000000"/>
          <w:shd w:val="clear" w:color="auto" w:fill="FFFFFF"/>
          <w:lang w:val="fr-CA"/>
        </w:rPr>
        <w:lastRenderedPageBreak/>
        <w:t>à la Cour une compréhension approfondie des questions en jeu, qui nécessite parfois une connaissance spécifique des circonstances, et d’assurer une certaine représentativité sur le banc</w:t>
      </w:r>
      <w:r w:rsidRPr="00AD353E">
        <w:rPr>
          <w:rStyle w:val="Appelnotedebasdep"/>
          <w:rFonts w:eastAsia="Times New Roman"/>
          <w:color w:val="000000"/>
          <w:shd w:val="clear" w:color="auto" w:fill="FFFFFF"/>
          <w:lang w:val="fr-CA"/>
        </w:rPr>
        <w:footnoteReference w:id="20"/>
      </w:r>
      <w:r w:rsidRPr="00AD353E">
        <w:rPr>
          <w:rFonts w:eastAsia="Times New Roman"/>
          <w:color w:val="000000"/>
          <w:shd w:val="clear" w:color="auto" w:fill="FFFFFF"/>
          <w:lang w:val="fr-CA"/>
        </w:rPr>
        <w:t>.</w:t>
      </w:r>
      <w:r>
        <w:rPr>
          <w:rFonts w:eastAsia="Times New Roman"/>
          <w:color w:val="000000"/>
          <w:shd w:val="clear" w:color="auto" w:fill="FFFFFF"/>
          <w:lang w:val="fr-CA"/>
        </w:rPr>
        <w:t xml:space="preserve"> </w:t>
      </w:r>
    </w:p>
    <w:p w14:paraId="4E3C6B54" w14:textId="77777777" w:rsidR="00ED6815" w:rsidRDefault="00ED6815" w:rsidP="00196FEC">
      <w:pPr>
        <w:spacing w:line="360" w:lineRule="auto"/>
        <w:jc w:val="both"/>
        <w:rPr>
          <w:rFonts w:eastAsia="Times New Roman"/>
          <w:color w:val="000000"/>
          <w:shd w:val="clear" w:color="auto" w:fill="FFFFFF"/>
          <w:lang w:val="fr-CA"/>
        </w:rPr>
      </w:pPr>
    </w:p>
    <w:p w14:paraId="7EEE4742" w14:textId="02E666C7" w:rsidR="00ED6815" w:rsidRDefault="00ED6815" w:rsidP="00196FEC">
      <w:pPr>
        <w:spacing w:line="360" w:lineRule="auto"/>
        <w:jc w:val="both"/>
        <w:rPr>
          <w:rFonts w:eastAsia="Times New Roman"/>
          <w:color w:val="000000"/>
          <w:shd w:val="clear" w:color="auto" w:fill="FFFFFF"/>
          <w:lang w:val="fr-CA"/>
        </w:rPr>
      </w:pPr>
      <w:r>
        <w:rPr>
          <w:rFonts w:eastAsia="Times New Roman"/>
          <w:color w:val="000000"/>
          <w:shd w:val="clear" w:color="auto" w:fill="FFFFFF"/>
          <w:lang w:val="fr-CA"/>
        </w:rPr>
        <w:t>[</w:t>
      </w:r>
      <w:r w:rsidR="000D4CA0">
        <w:rPr>
          <w:color w:val="000000"/>
          <w:shd w:val="clear" w:color="auto" w:fill="FFFFFF"/>
          <w:lang w:val="fr-CA"/>
        </w:rPr>
        <w:t>16</w:t>
      </w:r>
      <w:r>
        <w:rPr>
          <w:rFonts w:eastAsia="Times New Roman"/>
          <w:color w:val="000000"/>
          <w:shd w:val="clear" w:color="auto" w:fill="FFFFFF"/>
          <w:lang w:val="fr-CA"/>
        </w:rPr>
        <w:t>]</w:t>
      </w:r>
      <w:r>
        <w:rPr>
          <w:rFonts w:eastAsia="Times New Roman"/>
          <w:color w:val="000000"/>
          <w:shd w:val="clear" w:color="auto" w:fill="FFFFFF"/>
          <w:lang w:val="fr-CA"/>
        </w:rPr>
        <w:tab/>
      </w:r>
      <w:r w:rsidRPr="00B31721">
        <w:rPr>
          <w:rFonts w:eastAsia="Times New Roman"/>
          <w:color w:val="000000"/>
          <w:shd w:val="clear" w:color="auto" w:fill="FFFFFF"/>
          <w:lang w:val="fr-CA"/>
        </w:rPr>
        <w:t>Afin de démontrer la légitimité du système et de comprendre son fonctionnement, il est pertinent d’examiner comment celui-ci a été déployé à la Cour internationale de justice (CIJ). Nous suggérons ensuite une application particulière pour la justice autochtone au Québec.</w:t>
      </w:r>
    </w:p>
    <w:p w14:paraId="683A0D88" w14:textId="77777777" w:rsidR="00ED6815" w:rsidRPr="00ED6815" w:rsidRDefault="00ED6815" w:rsidP="00196FEC">
      <w:pPr>
        <w:spacing w:line="360" w:lineRule="auto"/>
        <w:rPr>
          <w:lang w:val="fr-CA"/>
        </w:rPr>
      </w:pPr>
    </w:p>
    <w:p w14:paraId="2C3CA7AF" w14:textId="77777777" w:rsidR="00AB3860" w:rsidRPr="00F632AF" w:rsidRDefault="00AB3860" w:rsidP="00196FEC">
      <w:pPr>
        <w:pStyle w:val="Titre3"/>
        <w:spacing w:line="360" w:lineRule="auto"/>
        <w:rPr>
          <w:rFonts w:ascii="Times New Roman" w:hAnsi="Times New Roman" w:cs="Times New Roman"/>
          <w:b/>
          <w:color w:val="000000" w:themeColor="text1"/>
          <w:shd w:val="clear" w:color="auto" w:fill="FFFFFF"/>
          <w:lang w:val="fr-CA"/>
        </w:rPr>
      </w:pPr>
      <w:bookmarkStart w:id="5" w:name="_Toc719098"/>
      <w:r w:rsidRPr="00F632AF">
        <w:rPr>
          <w:rFonts w:ascii="Times New Roman" w:eastAsia="Times New Roman" w:hAnsi="Times New Roman" w:cs="Times New Roman"/>
          <w:b/>
          <w:color w:val="000000" w:themeColor="text1"/>
          <w:shd w:val="clear" w:color="auto" w:fill="FFFFFF"/>
          <w:lang w:val="fr-CA"/>
        </w:rPr>
        <w:t>3.2.1 Application à la Cour internationale de justice</w:t>
      </w:r>
      <w:bookmarkEnd w:id="5"/>
      <w:r w:rsidRPr="00F632AF">
        <w:rPr>
          <w:rFonts w:ascii="Times New Roman" w:eastAsia="Times New Roman" w:hAnsi="Times New Roman" w:cs="Times New Roman"/>
          <w:b/>
          <w:color w:val="000000" w:themeColor="text1"/>
          <w:shd w:val="clear" w:color="auto" w:fill="FFFFFF"/>
          <w:lang w:val="fr-CA"/>
        </w:rPr>
        <w:t xml:space="preserve"> </w:t>
      </w:r>
    </w:p>
    <w:p w14:paraId="421B3972" w14:textId="77777777" w:rsidR="00AB3860" w:rsidRPr="00310D5C" w:rsidRDefault="00AB3860" w:rsidP="00196FEC">
      <w:pPr>
        <w:spacing w:line="360" w:lineRule="auto"/>
        <w:jc w:val="both"/>
        <w:rPr>
          <w:rFonts w:eastAsia="Times New Roman"/>
          <w:b/>
          <w:color w:val="000000"/>
          <w:shd w:val="clear" w:color="auto" w:fill="FFFFFF"/>
          <w:lang w:val="fr-CA"/>
        </w:rPr>
      </w:pPr>
    </w:p>
    <w:p w14:paraId="2DF9B1D4" w14:textId="5C0182FC" w:rsidR="00AB3860" w:rsidRDefault="00AB3860" w:rsidP="00196FEC">
      <w:pPr>
        <w:spacing w:line="360" w:lineRule="auto"/>
        <w:jc w:val="both"/>
        <w:rPr>
          <w:rFonts w:eastAsia="Times New Roman"/>
          <w:color w:val="000000"/>
          <w:shd w:val="clear" w:color="auto" w:fill="FFFFFF"/>
          <w:lang w:val="fr-CA"/>
        </w:rPr>
      </w:pPr>
      <w:r w:rsidRPr="00AD353E">
        <w:rPr>
          <w:rFonts w:eastAsia="Times New Roman"/>
          <w:color w:val="000000"/>
          <w:shd w:val="clear" w:color="auto" w:fill="FFFFFF"/>
          <w:lang w:val="fr-CA"/>
        </w:rPr>
        <w:t>[</w:t>
      </w:r>
      <w:r w:rsidR="000D4CA0" w:rsidRPr="00AD353E">
        <w:rPr>
          <w:color w:val="000000"/>
          <w:shd w:val="clear" w:color="auto" w:fill="FFFFFF"/>
          <w:lang w:val="fr-CA"/>
        </w:rPr>
        <w:t>17</w:t>
      </w:r>
      <w:r w:rsidRPr="00AD353E">
        <w:rPr>
          <w:rFonts w:eastAsia="Times New Roman"/>
          <w:color w:val="000000"/>
          <w:shd w:val="clear" w:color="auto" w:fill="FFFFFF"/>
          <w:lang w:val="fr-CA"/>
        </w:rPr>
        <w:t>]</w:t>
      </w:r>
      <w:r w:rsidRPr="00AD353E">
        <w:rPr>
          <w:rFonts w:eastAsia="Times New Roman"/>
          <w:color w:val="000000"/>
          <w:shd w:val="clear" w:color="auto" w:fill="FFFFFF"/>
          <w:lang w:val="fr-CA"/>
        </w:rPr>
        <w:tab/>
        <w:t xml:space="preserve">La CIJ applique le système des juges </w:t>
      </w:r>
      <w:r w:rsidRPr="00AD353E">
        <w:rPr>
          <w:rFonts w:eastAsia="Times New Roman"/>
          <w:i/>
          <w:iCs/>
          <w:color w:val="000000"/>
          <w:shd w:val="clear" w:color="auto" w:fill="FFFFFF"/>
          <w:lang w:val="fr-CA"/>
        </w:rPr>
        <w:t xml:space="preserve">ad hoc </w:t>
      </w:r>
      <w:r w:rsidRPr="00AD353E">
        <w:rPr>
          <w:rFonts w:eastAsia="Times New Roman"/>
          <w:color w:val="000000"/>
          <w:shd w:val="clear" w:color="auto" w:fill="FFFFFF"/>
          <w:lang w:val="fr-CA"/>
        </w:rPr>
        <w:t xml:space="preserve">en accordant aux États n’ayant aucun juge les représentant l’opportunité de « désigner un juge </w:t>
      </w:r>
      <w:r w:rsidRPr="00AD353E">
        <w:rPr>
          <w:rFonts w:eastAsia="Times New Roman"/>
          <w:i/>
          <w:iCs/>
          <w:color w:val="000000"/>
          <w:shd w:val="clear" w:color="auto" w:fill="FFFFFF"/>
          <w:lang w:val="fr-CA"/>
        </w:rPr>
        <w:t xml:space="preserve">ad hoc </w:t>
      </w:r>
      <w:r w:rsidRPr="00AD353E">
        <w:rPr>
          <w:rFonts w:eastAsia="Times New Roman"/>
          <w:color w:val="000000"/>
          <w:shd w:val="clear" w:color="auto" w:fill="FFFFFF"/>
          <w:lang w:val="fr-CA"/>
        </w:rPr>
        <w:t>aux fins de l’affaire qui les concerne »</w:t>
      </w:r>
      <w:r w:rsidRPr="00AD353E">
        <w:rPr>
          <w:rStyle w:val="Appelnotedebasdep"/>
          <w:rFonts w:eastAsia="Times New Roman"/>
          <w:color w:val="000000"/>
          <w:shd w:val="clear" w:color="auto" w:fill="FFFFFF"/>
          <w:lang w:val="fr-CA"/>
        </w:rPr>
        <w:footnoteReference w:id="21"/>
      </w:r>
      <w:r w:rsidRPr="00AD353E">
        <w:rPr>
          <w:rFonts w:eastAsia="Times New Roman"/>
          <w:color w:val="000000"/>
          <w:shd w:val="clear" w:color="auto" w:fill="FFFFFF"/>
          <w:lang w:val="fr-CA"/>
        </w:rPr>
        <w:t>.</w:t>
      </w:r>
      <w:r>
        <w:rPr>
          <w:rFonts w:eastAsia="Times New Roman"/>
          <w:color w:val="000000"/>
          <w:shd w:val="clear" w:color="auto" w:fill="FFFFFF"/>
          <w:lang w:val="fr-CA"/>
        </w:rPr>
        <w:t xml:space="preserve"> </w:t>
      </w:r>
      <w:r w:rsidRPr="00816E99">
        <w:rPr>
          <w:rFonts w:eastAsia="Times New Roman"/>
          <w:color w:val="000000"/>
          <w:shd w:val="clear" w:color="auto" w:fill="FFFFFF"/>
          <w:lang w:val="fr-CA"/>
        </w:rPr>
        <w:t xml:space="preserve">La composition de la Cour, annoncée dans le Statut de la CIJ, varie en fonction du litige. La Cour est constituée de quinze juges indépendants et permanents, avec possibilité de nommer des juges </w:t>
      </w:r>
      <w:r w:rsidRPr="00816E99">
        <w:rPr>
          <w:rFonts w:eastAsia="Times New Roman"/>
          <w:i/>
          <w:iCs/>
          <w:color w:val="000000"/>
          <w:shd w:val="clear" w:color="auto" w:fill="FFFFFF"/>
          <w:lang w:val="fr-CA"/>
        </w:rPr>
        <w:t>ad hoc</w:t>
      </w:r>
      <w:r>
        <w:rPr>
          <w:rStyle w:val="Appelnotedebasdep"/>
          <w:rFonts w:eastAsia="Times New Roman"/>
          <w:color w:val="000000"/>
          <w:shd w:val="clear" w:color="auto" w:fill="FFFFFF"/>
          <w:lang w:val="fr-CA"/>
        </w:rPr>
        <w:footnoteReference w:id="22"/>
      </w:r>
      <w:r>
        <w:rPr>
          <w:rFonts w:eastAsia="Times New Roman"/>
          <w:color w:val="000000"/>
          <w:shd w:val="clear" w:color="auto" w:fill="FFFFFF"/>
          <w:lang w:val="fr-CA"/>
        </w:rPr>
        <w:t xml:space="preserve">. </w:t>
      </w:r>
    </w:p>
    <w:p w14:paraId="5F27CFE8" w14:textId="77777777" w:rsidR="00AB3860" w:rsidRDefault="00AB3860" w:rsidP="00196FEC">
      <w:pPr>
        <w:spacing w:line="360" w:lineRule="auto"/>
        <w:jc w:val="both"/>
        <w:rPr>
          <w:rFonts w:eastAsia="Times New Roman"/>
          <w:color w:val="000000"/>
          <w:shd w:val="clear" w:color="auto" w:fill="FFFFFF"/>
          <w:lang w:val="fr-CA"/>
        </w:rPr>
      </w:pPr>
    </w:p>
    <w:p w14:paraId="155FD279" w14:textId="60409530" w:rsidR="00AB3860" w:rsidRDefault="00AB3860" w:rsidP="00196FEC">
      <w:pPr>
        <w:spacing w:line="360" w:lineRule="auto"/>
        <w:jc w:val="both"/>
        <w:rPr>
          <w:rFonts w:eastAsia="Times New Roman"/>
          <w:color w:val="000000"/>
          <w:shd w:val="clear" w:color="auto" w:fill="FFFFFF"/>
          <w:lang w:val="fr-CA"/>
        </w:rPr>
      </w:pPr>
      <w:r>
        <w:rPr>
          <w:rFonts w:eastAsia="Times New Roman"/>
          <w:color w:val="000000"/>
          <w:shd w:val="clear" w:color="auto" w:fill="FFFFFF"/>
          <w:lang w:val="fr-CA"/>
        </w:rPr>
        <w:t>[</w:t>
      </w:r>
      <w:r w:rsidR="00553527">
        <w:rPr>
          <w:color w:val="000000"/>
          <w:shd w:val="clear" w:color="auto" w:fill="FFFFFF"/>
          <w:lang w:val="fr-CA"/>
        </w:rPr>
        <w:t>18</w:t>
      </w:r>
      <w:r>
        <w:rPr>
          <w:rFonts w:eastAsia="Times New Roman"/>
          <w:color w:val="000000"/>
          <w:shd w:val="clear" w:color="auto" w:fill="FFFFFF"/>
          <w:lang w:val="fr-CA"/>
        </w:rPr>
        <w:t>]</w:t>
      </w:r>
      <w:r>
        <w:rPr>
          <w:rFonts w:eastAsia="Times New Roman"/>
          <w:color w:val="000000"/>
          <w:shd w:val="clear" w:color="auto" w:fill="FFFFFF"/>
          <w:lang w:val="fr-CA"/>
        </w:rPr>
        <w:tab/>
      </w:r>
      <w:r w:rsidRPr="00816E99">
        <w:rPr>
          <w:rFonts w:eastAsia="Times New Roman"/>
          <w:color w:val="000000"/>
          <w:shd w:val="clear" w:color="auto" w:fill="FFFFFF"/>
          <w:lang w:val="fr-CA"/>
        </w:rPr>
        <w:t>Lorsque vient le temps de nommer un juge</w:t>
      </w:r>
      <w:r w:rsidRPr="00816E99">
        <w:rPr>
          <w:rFonts w:eastAsia="Times New Roman"/>
          <w:i/>
          <w:iCs/>
          <w:color w:val="000000"/>
          <w:shd w:val="clear" w:color="auto" w:fill="FFFFFF"/>
          <w:lang w:val="fr-CA"/>
        </w:rPr>
        <w:t xml:space="preserve"> ad hoc</w:t>
      </w:r>
      <w:r w:rsidRPr="00816E99">
        <w:rPr>
          <w:rFonts w:eastAsia="Times New Roman"/>
          <w:color w:val="000000"/>
          <w:shd w:val="clear" w:color="auto" w:fill="FFFFFF"/>
          <w:lang w:val="fr-CA"/>
        </w:rPr>
        <w:t xml:space="preserve">, </w:t>
      </w:r>
      <w:r w:rsidRPr="00AD353E">
        <w:rPr>
          <w:rFonts w:eastAsia="Times New Roman"/>
          <w:color w:val="000000"/>
          <w:shd w:val="clear" w:color="auto" w:fill="FFFFFF"/>
          <w:lang w:val="fr-CA"/>
        </w:rPr>
        <w:t xml:space="preserve">l’État peut désigner toute personne qu’il estime avoir les connaissances et les compétences requises, et ce, sans considération pour sa nationalité. Le juge </w:t>
      </w:r>
      <w:r w:rsidRPr="00AD353E">
        <w:rPr>
          <w:rFonts w:eastAsia="Times New Roman"/>
          <w:i/>
          <w:iCs/>
          <w:color w:val="000000"/>
          <w:shd w:val="clear" w:color="auto" w:fill="FFFFFF"/>
          <w:lang w:val="fr-CA"/>
        </w:rPr>
        <w:t xml:space="preserve">ad hoc </w:t>
      </w:r>
      <w:r w:rsidRPr="00AD353E">
        <w:rPr>
          <w:rFonts w:eastAsia="Times New Roman"/>
          <w:color w:val="000000"/>
          <w:shd w:val="clear" w:color="auto" w:fill="FFFFFF"/>
          <w:lang w:val="fr-CA"/>
        </w:rPr>
        <w:t>acquiert alors un titre, une responsabilité et une importance équivalents aux juges permanents pour la durée de l’affaire.</w:t>
      </w:r>
      <w:bookmarkStart w:id="6" w:name="_GoBack"/>
      <w:bookmarkEnd w:id="6"/>
      <w:r w:rsidRPr="00816E99">
        <w:rPr>
          <w:rFonts w:eastAsia="Times New Roman"/>
          <w:color w:val="000000"/>
          <w:shd w:val="clear" w:color="auto" w:fill="FFFFFF"/>
          <w:lang w:val="fr-CA"/>
        </w:rPr>
        <w:t xml:space="preserve"> Si le litige implique plusieurs États possédant une cause commune, ils doivent désigner un seul et même juge</w:t>
      </w:r>
      <w:r>
        <w:rPr>
          <w:rStyle w:val="Appelnotedebasdep"/>
          <w:rFonts w:eastAsia="Times New Roman"/>
          <w:color w:val="000000"/>
          <w:shd w:val="clear" w:color="auto" w:fill="FFFFFF"/>
          <w:lang w:val="fr-CA"/>
        </w:rPr>
        <w:footnoteReference w:id="23"/>
      </w:r>
      <w:r>
        <w:rPr>
          <w:rFonts w:eastAsia="Times New Roman"/>
          <w:color w:val="000000"/>
          <w:shd w:val="clear" w:color="auto" w:fill="FFFFFF"/>
          <w:lang w:val="fr-CA"/>
        </w:rPr>
        <w:t xml:space="preserve">. </w:t>
      </w:r>
    </w:p>
    <w:p w14:paraId="181A219C" w14:textId="77777777" w:rsidR="00AB3860" w:rsidRDefault="00AB3860" w:rsidP="00196FEC">
      <w:pPr>
        <w:spacing w:line="360" w:lineRule="auto"/>
        <w:jc w:val="both"/>
        <w:rPr>
          <w:rFonts w:eastAsia="Times New Roman"/>
          <w:color w:val="000000"/>
          <w:shd w:val="clear" w:color="auto" w:fill="FFFFFF"/>
          <w:lang w:val="fr-CA"/>
        </w:rPr>
      </w:pPr>
    </w:p>
    <w:p w14:paraId="3D88133F" w14:textId="1751D045" w:rsidR="00AB3860" w:rsidRDefault="00AB3860" w:rsidP="00196FEC">
      <w:pPr>
        <w:spacing w:line="360" w:lineRule="auto"/>
        <w:jc w:val="both"/>
        <w:rPr>
          <w:rFonts w:eastAsia="Times New Roman"/>
          <w:color w:val="000000"/>
          <w:shd w:val="clear" w:color="auto" w:fill="FFFFFF"/>
          <w:lang w:val="fr-CA"/>
        </w:rPr>
      </w:pPr>
      <w:r>
        <w:rPr>
          <w:rFonts w:eastAsia="Times New Roman"/>
          <w:color w:val="000000"/>
          <w:shd w:val="clear" w:color="auto" w:fill="FFFFFF"/>
          <w:lang w:val="fr-CA"/>
        </w:rPr>
        <w:t>[</w:t>
      </w:r>
      <w:r w:rsidR="00553527">
        <w:rPr>
          <w:color w:val="000000"/>
          <w:shd w:val="clear" w:color="auto" w:fill="FFFFFF"/>
          <w:lang w:val="fr-CA"/>
        </w:rPr>
        <w:t>19</w:t>
      </w:r>
      <w:r>
        <w:rPr>
          <w:rFonts w:eastAsia="Times New Roman"/>
          <w:color w:val="000000"/>
          <w:shd w:val="clear" w:color="auto" w:fill="FFFFFF"/>
          <w:lang w:val="fr-CA"/>
        </w:rPr>
        <w:t>]</w:t>
      </w:r>
      <w:r>
        <w:rPr>
          <w:rFonts w:eastAsia="Times New Roman"/>
          <w:color w:val="000000"/>
          <w:shd w:val="clear" w:color="auto" w:fill="FFFFFF"/>
          <w:lang w:val="fr-CA"/>
        </w:rPr>
        <w:tab/>
      </w:r>
      <w:r w:rsidRPr="00816E99">
        <w:rPr>
          <w:rFonts w:eastAsia="Times New Roman"/>
          <w:color w:val="000000"/>
          <w:shd w:val="clear" w:color="auto" w:fill="FFFFFF"/>
          <w:lang w:val="fr-CA"/>
        </w:rPr>
        <w:t xml:space="preserve">Cependant, la représentativité du système des juges </w:t>
      </w:r>
      <w:r w:rsidRPr="00816E99">
        <w:rPr>
          <w:rFonts w:eastAsia="Times New Roman"/>
          <w:i/>
          <w:iCs/>
          <w:color w:val="000000"/>
          <w:shd w:val="clear" w:color="auto" w:fill="FFFFFF"/>
          <w:lang w:val="fr-CA"/>
        </w:rPr>
        <w:t>ad hoc</w:t>
      </w:r>
      <w:r w:rsidRPr="00816E99">
        <w:rPr>
          <w:rFonts w:eastAsia="Times New Roman"/>
          <w:color w:val="000000"/>
          <w:shd w:val="clear" w:color="auto" w:fill="FFFFFF"/>
          <w:lang w:val="fr-CA"/>
        </w:rPr>
        <w:t xml:space="preserve"> à la CIJ a été critiquée.</w:t>
      </w:r>
      <w:r w:rsidRPr="00816E99">
        <w:rPr>
          <w:rFonts w:eastAsia="Times New Roman"/>
          <w:i/>
          <w:iCs/>
          <w:color w:val="000000"/>
          <w:shd w:val="clear" w:color="auto" w:fill="FFFFFF"/>
          <w:lang w:val="fr-CA"/>
        </w:rPr>
        <w:t xml:space="preserve"> </w:t>
      </w:r>
      <w:r w:rsidRPr="00816E99">
        <w:rPr>
          <w:rFonts w:eastAsia="Times New Roman"/>
          <w:color w:val="000000"/>
          <w:shd w:val="clear" w:color="auto" w:fill="FFFFFF"/>
          <w:lang w:val="fr-CA"/>
        </w:rPr>
        <w:t xml:space="preserve">En effet, certains considéraient que l’influence des juges </w:t>
      </w:r>
      <w:r w:rsidRPr="00816E99">
        <w:rPr>
          <w:rFonts w:eastAsia="Times New Roman"/>
          <w:i/>
          <w:iCs/>
          <w:color w:val="000000"/>
          <w:shd w:val="clear" w:color="auto" w:fill="FFFFFF"/>
          <w:lang w:val="fr-CA"/>
        </w:rPr>
        <w:t xml:space="preserve">ad hoc </w:t>
      </w:r>
      <w:r w:rsidRPr="00816E99">
        <w:rPr>
          <w:rFonts w:eastAsia="Times New Roman"/>
          <w:color w:val="000000"/>
          <w:shd w:val="clear" w:color="auto" w:fill="FFFFFF"/>
          <w:lang w:val="fr-CA"/>
        </w:rPr>
        <w:t>serait moindre que celle des juges permanents, car les États non</w:t>
      </w:r>
      <w:r w:rsidR="004E66DF">
        <w:rPr>
          <w:rFonts w:eastAsia="Times New Roman"/>
          <w:color w:val="000000"/>
          <w:shd w:val="clear" w:color="auto" w:fill="FFFFFF"/>
          <w:lang w:val="fr-CA"/>
        </w:rPr>
        <w:t xml:space="preserve"> </w:t>
      </w:r>
      <w:r w:rsidRPr="00816E99">
        <w:rPr>
          <w:rFonts w:eastAsia="Times New Roman"/>
          <w:color w:val="000000"/>
          <w:shd w:val="clear" w:color="auto" w:fill="FFFFFF"/>
          <w:lang w:val="fr-CA"/>
        </w:rPr>
        <w:t>représentés ne peuvent qu’en nommer un</w:t>
      </w:r>
      <w:r>
        <w:rPr>
          <w:rStyle w:val="Appelnotedebasdep"/>
          <w:rFonts w:eastAsia="Times New Roman"/>
          <w:color w:val="000000"/>
          <w:shd w:val="clear" w:color="auto" w:fill="FFFFFF"/>
          <w:lang w:val="fr-CA"/>
        </w:rPr>
        <w:footnoteReference w:id="24"/>
      </w:r>
      <w:r>
        <w:rPr>
          <w:rFonts w:eastAsia="Times New Roman"/>
          <w:color w:val="000000"/>
          <w:shd w:val="clear" w:color="auto" w:fill="FFFFFF"/>
          <w:lang w:val="fr-CA"/>
        </w:rPr>
        <w:t xml:space="preserve">. </w:t>
      </w:r>
      <w:r w:rsidRPr="00816E99">
        <w:rPr>
          <w:rFonts w:eastAsia="Times New Roman"/>
          <w:color w:val="000000"/>
          <w:shd w:val="clear" w:color="auto" w:fill="FFFFFF"/>
          <w:lang w:val="fr-CA"/>
        </w:rPr>
        <w:t xml:space="preserve">Cela dit, les chambres </w:t>
      </w:r>
      <w:r w:rsidRPr="00816E99">
        <w:rPr>
          <w:rFonts w:eastAsia="Times New Roman"/>
          <w:i/>
          <w:iCs/>
          <w:color w:val="000000"/>
          <w:shd w:val="clear" w:color="auto" w:fill="FFFFFF"/>
          <w:lang w:val="fr-CA"/>
        </w:rPr>
        <w:t>ad hoc</w:t>
      </w:r>
      <w:r w:rsidRPr="00816E99">
        <w:rPr>
          <w:rFonts w:eastAsia="Times New Roman"/>
          <w:color w:val="000000"/>
          <w:shd w:val="clear" w:color="auto" w:fill="FFFFFF"/>
          <w:lang w:val="fr-CA"/>
        </w:rPr>
        <w:t xml:space="preserve"> consistent en une utilisation alternative du système </w:t>
      </w:r>
      <w:r w:rsidRPr="00816E99">
        <w:rPr>
          <w:rFonts w:eastAsia="Times New Roman"/>
          <w:i/>
          <w:iCs/>
          <w:color w:val="000000"/>
          <w:shd w:val="clear" w:color="auto" w:fill="FFFFFF"/>
          <w:lang w:val="fr-CA"/>
        </w:rPr>
        <w:t>ad hoc</w:t>
      </w:r>
      <w:r>
        <w:rPr>
          <w:rStyle w:val="Appelnotedebasdep"/>
          <w:rFonts w:eastAsia="Times New Roman"/>
          <w:i/>
          <w:iCs/>
          <w:color w:val="000000"/>
          <w:shd w:val="clear" w:color="auto" w:fill="FFFFFF"/>
          <w:lang w:val="fr-CA"/>
        </w:rPr>
        <w:footnoteReference w:id="25"/>
      </w:r>
      <w:r>
        <w:rPr>
          <w:rFonts w:eastAsia="Times New Roman"/>
          <w:color w:val="000000"/>
          <w:shd w:val="clear" w:color="auto" w:fill="FFFFFF"/>
          <w:lang w:val="fr-CA"/>
        </w:rPr>
        <w:t xml:space="preserve">, </w:t>
      </w:r>
      <w:r w:rsidRPr="00BD32CB">
        <w:rPr>
          <w:rFonts w:eastAsia="Times New Roman"/>
          <w:color w:val="000000"/>
          <w:shd w:val="clear" w:color="auto" w:fill="FFFFFF"/>
          <w:lang w:val="fr-CA"/>
        </w:rPr>
        <w:t xml:space="preserve">où les États ont une plus </w:t>
      </w:r>
      <w:r w:rsidRPr="00BD32CB">
        <w:rPr>
          <w:rFonts w:eastAsia="Times New Roman"/>
          <w:color w:val="000000"/>
          <w:shd w:val="clear" w:color="auto" w:fill="FFFFFF"/>
          <w:lang w:val="fr-CA"/>
        </w:rPr>
        <w:lastRenderedPageBreak/>
        <w:t>grande influence en sélectionnant davantage de membres</w:t>
      </w:r>
      <w:r>
        <w:rPr>
          <w:rStyle w:val="Appelnotedebasdep"/>
          <w:rFonts w:eastAsia="Times New Roman"/>
          <w:color w:val="000000"/>
          <w:shd w:val="clear" w:color="auto" w:fill="FFFFFF"/>
          <w:lang w:val="fr-CA"/>
        </w:rPr>
        <w:footnoteReference w:id="26"/>
      </w:r>
      <w:r>
        <w:rPr>
          <w:rFonts w:eastAsia="Times New Roman"/>
          <w:color w:val="000000"/>
          <w:shd w:val="clear" w:color="auto" w:fill="FFFFFF"/>
          <w:lang w:val="fr-CA"/>
        </w:rPr>
        <w:t xml:space="preserve">. </w:t>
      </w:r>
      <w:r w:rsidRPr="00BD32CB">
        <w:rPr>
          <w:rFonts w:eastAsia="Times New Roman"/>
          <w:color w:val="000000"/>
          <w:shd w:val="clear" w:color="auto" w:fill="FFFFFF"/>
          <w:lang w:val="fr-CA"/>
        </w:rPr>
        <w:t xml:space="preserve">Ainsi, les différentes utilisations du système </w:t>
      </w:r>
      <w:r w:rsidRPr="00E8740E">
        <w:rPr>
          <w:rFonts w:eastAsia="Times New Roman"/>
          <w:i/>
          <w:color w:val="000000"/>
          <w:shd w:val="clear" w:color="auto" w:fill="FFFFFF"/>
          <w:lang w:val="fr-CA"/>
        </w:rPr>
        <w:t>ad hoc</w:t>
      </w:r>
      <w:r w:rsidRPr="00BD32CB">
        <w:rPr>
          <w:rFonts w:eastAsia="Times New Roman"/>
          <w:color w:val="000000"/>
          <w:shd w:val="clear" w:color="auto" w:fill="FFFFFF"/>
          <w:lang w:val="fr-CA"/>
        </w:rPr>
        <w:t xml:space="preserve"> à la CIJ prouvent que ce mécanisme peut être déployé de façons diverses au besoin.</w:t>
      </w:r>
    </w:p>
    <w:p w14:paraId="764EF412" w14:textId="77777777" w:rsidR="00AB3860" w:rsidRPr="00AB3860" w:rsidRDefault="00AB3860" w:rsidP="00196FEC">
      <w:pPr>
        <w:spacing w:line="360" w:lineRule="auto"/>
        <w:ind w:firstLine="360"/>
        <w:rPr>
          <w:b/>
          <w:lang w:val="fr-CA"/>
        </w:rPr>
      </w:pPr>
    </w:p>
    <w:p w14:paraId="06594883" w14:textId="77777777" w:rsidR="005A6551" w:rsidRPr="00F632AF" w:rsidRDefault="005A6551" w:rsidP="00196FEC">
      <w:pPr>
        <w:pStyle w:val="Titre3"/>
        <w:spacing w:line="360" w:lineRule="auto"/>
        <w:rPr>
          <w:rFonts w:ascii="Times New Roman" w:hAnsi="Times New Roman" w:cs="Times New Roman"/>
          <w:b/>
          <w:color w:val="000000" w:themeColor="text1"/>
        </w:rPr>
      </w:pPr>
      <w:bookmarkStart w:id="7" w:name="_Toc719099"/>
      <w:r w:rsidRPr="00F632AF">
        <w:rPr>
          <w:rFonts w:ascii="Times New Roman" w:hAnsi="Times New Roman" w:cs="Times New Roman"/>
          <w:b/>
          <w:color w:val="000000" w:themeColor="text1"/>
        </w:rPr>
        <w:t>3.2.2 Application au contexte québécois</w:t>
      </w:r>
      <w:bookmarkEnd w:id="7"/>
    </w:p>
    <w:p w14:paraId="2A3F8562" w14:textId="77777777" w:rsidR="005A6551" w:rsidRPr="005A6551" w:rsidRDefault="005A6551" w:rsidP="00196FEC">
      <w:pPr>
        <w:spacing w:line="360" w:lineRule="auto"/>
      </w:pPr>
    </w:p>
    <w:p w14:paraId="61ECD87E" w14:textId="59AFBF38" w:rsidR="005A6551" w:rsidRPr="005A6551" w:rsidRDefault="00C77C45" w:rsidP="00196FEC">
      <w:pPr>
        <w:spacing w:line="360" w:lineRule="auto"/>
        <w:jc w:val="both"/>
      </w:pPr>
      <w:r>
        <w:t>[</w:t>
      </w:r>
      <w:r w:rsidR="00553527">
        <w:t>20</w:t>
      </w:r>
      <w:r>
        <w:t>]</w:t>
      </w:r>
      <w:r>
        <w:tab/>
      </w:r>
      <w:r w:rsidR="005A6551" w:rsidRPr="005A6551">
        <w:t xml:space="preserve">Le présent mémoire propose l’instauration systématique du modèle </w:t>
      </w:r>
      <w:r w:rsidR="005A6551" w:rsidRPr="00C77C45">
        <w:rPr>
          <w:i/>
        </w:rPr>
        <w:t>ad hoc</w:t>
      </w:r>
      <w:r w:rsidR="005A6551" w:rsidRPr="005A6551">
        <w:t xml:space="preserve"> en Cour d’appel du Québec pour toute affaire provenant d’une cour inférieure autochtone. Il convient de préciser que le principe de juges </w:t>
      </w:r>
      <w:r w:rsidR="005A6551" w:rsidRPr="00C77C45">
        <w:rPr>
          <w:i/>
        </w:rPr>
        <w:t>ad hoc</w:t>
      </w:r>
      <w:r w:rsidR="005A6551" w:rsidRPr="005A6551">
        <w:t xml:space="preserve"> peut présentement être utilisé en Cour d’appel, sou</w:t>
      </w:r>
      <w:r>
        <w:t>s demande de la juge en chef</w:t>
      </w:r>
      <w:r>
        <w:rPr>
          <w:rStyle w:val="Appelnotedebasdep"/>
        </w:rPr>
        <w:footnoteReference w:id="27"/>
      </w:r>
      <w:r w:rsidR="005A6551" w:rsidRPr="005A6551">
        <w:t xml:space="preserve">. </w:t>
      </w:r>
    </w:p>
    <w:p w14:paraId="563A3616" w14:textId="77777777" w:rsidR="005A6551" w:rsidRPr="005A6551" w:rsidRDefault="005A6551" w:rsidP="00196FEC">
      <w:pPr>
        <w:spacing w:line="360" w:lineRule="auto"/>
        <w:jc w:val="both"/>
      </w:pPr>
      <w:r w:rsidRPr="005A6551">
        <w:t xml:space="preserve">  </w:t>
      </w:r>
    </w:p>
    <w:p w14:paraId="1239BB71" w14:textId="29A656EB" w:rsidR="005A6551" w:rsidRPr="005A6551" w:rsidRDefault="00C77C45" w:rsidP="00196FEC">
      <w:pPr>
        <w:spacing w:line="360" w:lineRule="auto"/>
        <w:jc w:val="both"/>
      </w:pPr>
      <w:r>
        <w:t>[</w:t>
      </w:r>
      <w:r w:rsidR="00553527">
        <w:t>21</w:t>
      </w:r>
      <w:r>
        <w:t>]</w:t>
      </w:r>
      <w:r>
        <w:tab/>
      </w:r>
      <w:r w:rsidR="005A6551" w:rsidRPr="005A6551">
        <w:t xml:space="preserve">Afin de concrètement promouvoir l’autodétermination des Nations autochtones, les juges </w:t>
      </w:r>
      <w:r w:rsidR="005A6551" w:rsidRPr="0072779F">
        <w:rPr>
          <w:i/>
        </w:rPr>
        <w:t>ad hoc</w:t>
      </w:r>
      <w:r w:rsidR="005A6551" w:rsidRPr="005A6551">
        <w:t xml:space="preserve"> siégeront en tant que majorité. Ainsi, sur une formation de trois juges, soit la composition </w:t>
      </w:r>
      <w:r w:rsidR="0072779F">
        <w:t>habituelle de la Cour d’appel</w:t>
      </w:r>
      <w:r w:rsidR="005A6551" w:rsidRPr="005A6551">
        <w:t xml:space="preserve">, deux juges seront </w:t>
      </w:r>
      <w:r w:rsidR="005A6551" w:rsidRPr="00090187">
        <w:rPr>
          <w:i/>
        </w:rPr>
        <w:t>ad hoc</w:t>
      </w:r>
      <w:r w:rsidR="0072779F">
        <w:rPr>
          <w:rStyle w:val="Appelnotedebasdep"/>
        </w:rPr>
        <w:footnoteReference w:id="28"/>
      </w:r>
      <w:r w:rsidR="005A6551" w:rsidRPr="005A6551">
        <w:t>. Ceci est préférable à l’alternative d’une présence permanente de juges autochtones sur le banc. En effet, puisque la population auto</w:t>
      </w:r>
      <w:r w:rsidR="0072779F">
        <w:t>chtone du Québec représentait</w:t>
      </w:r>
      <w:r w:rsidR="005A6551" w:rsidRPr="005A6551">
        <w:t xml:space="preserve"> 2,3</w:t>
      </w:r>
      <w:r w:rsidR="004E66DF">
        <w:t> </w:t>
      </w:r>
      <w:r w:rsidR="005A6551" w:rsidRPr="005A6551">
        <w:t>% de la population totale en 2016, une place dans le système de manière permanente ne serait pas justifiée</w:t>
      </w:r>
      <w:r w:rsidR="0072779F">
        <w:rPr>
          <w:rStyle w:val="Appelnotedebasdep"/>
        </w:rPr>
        <w:footnoteReference w:id="29"/>
      </w:r>
      <w:r w:rsidR="005A6551" w:rsidRPr="005A6551">
        <w:t>.</w:t>
      </w:r>
    </w:p>
    <w:p w14:paraId="4BD8A289" w14:textId="77777777" w:rsidR="005A6551" w:rsidRPr="005A6551" w:rsidRDefault="005A6551" w:rsidP="00196FEC">
      <w:pPr>
        <w:spacing w:line="360" w:lineRule="auto"/>
        <w:jc w:val="both"/>
      </w:pPr>
      <w:r w:rsidRPr="005A6551">
        <w:t xml:space="preserve"> </w:t>
      </w:r>
    </w:p>
    <w:p w14:paraId="50E03C5B" w14:textId="47C839AC" w:rsidR="005A6551" w:rsidRPr="005A6551" w:rsidRDefault="00C77C45" w:rsidP="00196FEC">
      <w:pPr>
        <w:spacing w:line="360" w:lineRule="auto"/>
        <w:jc w:val="both"/>
      </w:pPr>
      <w:r>
        <w:t>[</w:t>
      </w:r>
      <w:r w:rsidR="00553527">
        <w:t>22</w:t>
      </w:r>
      <w:r>
        <w:t>]</w:t>
      </w:r>
      <w:r>
        <w:tab/>
      </w:r>
      <w:r w:rsidR="005A6551" w:rsidRPr="005A6551">
        <w:t xml:space="preserve">Chacune des onze Nations autochtones élira deux personnes qui seront mandatées pour une période de dix ans. Le processus se fera selon les modalités de la nation. Les juges élus seront appelés à siéger </w:t>
      </w:r>
      <w:r w:rsidR="005A6551" w:rsidRPr="009D3A5F">
        <w:rPr>
          <w:i/>
        </w:rPr>
        <w:t>ad hoc</w:t>
      </w:r>
      <w:r w:rsidR="005A6551" w:rsidRPr="005A6551">
        <w:t xml:space="preserve"> à la Cour d’appel pour tout appel impliquant le droit de leur nation. Si le banc est composé de plus de trois juges, un ou des juges élus d’autres nations seront </w:t>
      </w:r>
      <w:proofErr w:type="gramStart"/>
      <w:r w:rsidR="005A6551" w:rsidRPr="005A6551">
        <w:t>mandatés</w:t>
      </w:r>
      <w:proofErr w:type="gramEnd"/>
      <w:r w:rsidR="005A6551" w:rsidRPr="005A6551">
        <w:t>.</w:t>
      </w:r>
    </w:p>
    <w:p w14:paraId="4578600D" w14:textId="77777777" w:rsidR="005A6551" w:rsidRPr="005A6551" w:rsidRDefault="005A6551" w:rsidP="00196FEC">
      <w:pPr>
        <w:spacing w:line="360" w:lineRule="auto"/>
        <w:jc w:val="both"/>
      </w:pPr>
      <w:r w:rsidRPr="005A6551">
        <w:t xml:space="preserve"> </w:t>
      </w:r>
    </w:p>
    <w:p w14:paraId="3609A944" w14:textId="675962A9" w:rsidR="005A6551" w:rsidRPr="005A6551" w:rsidRDefault="00C77C45" w:rsidP="00196FEC">
      <w:pPr>
        <w:spacing w:line="360" w:lineRule="auto"/>
        <w:jc w:val="both"/>
      </w:pPr>
      <w:r>
        <w:t>[</w:t>
      </w:r>
      <w:r w:rsidR="00553527">
        <w:t>23</w:t>
      </w:r>
      <w:r>
        <w:t>]</w:t>
      </w:r>
      <w:r>
        <w:tab/>
      </w:r>
      <w:r w:rsidR="005A6551" w:rsidRPr="005A6551">
        <w:t xml:space="preserve">Les juges de la Cour d’appel, permanents comme </w:t>
      </w:r>
      <w:r w:rsidR="005A6551" w:rsidRPr="00090187">
        <w:rPr>
          <w:i/>
        </w:rPr>
        <w:t>ad hoc</w:t>
      </w:r>
      <w:r w:rsidR="005A6551" w:rsidRPr="005A6551">
        <w:t xml:space="preserve">, ne seront pas tenus d’avoir une formation dans chacune des traditions juridiques. Toutefois, comme pour les nominations à la Cour </w:t>
      </w:r>
      <w:r w:rsidR="005A6551" w:rsidRPr="005A6551">
        <w:lastRenderedPageBreak/>
        <w:t>suprême du Canada, une connaissance de toutes les traditions présentes dans le système judiciaire québécois sera un</w:t>
      </w:r>
      <w:r w:rsidR="00090187">
        <w:t xml:space="preserve"> avantage pour tout candidat</w:t>
      </w:r>
      <w:r w:rsidR="00090187">
        <w:rPr>
          <w:rStyle w:val="Appelnotedebasdep"/>
        </w:rPr>
        <w:footnoteReference w:id="30"/>
      </w:r>
      <w:r w:rsidR="005A6551" w:rsidRPr="005A6551">
        <w:t>.</w:t>
      </w:r>
    </w:p>
    <w:p w14:paraId="2BAF67AD" w14:textId="77777777" w:rsidR="005A6551" w:rsidRPr="005A6551" w:rsidRDefault="005A6551" w:rsidP="00196FEC">
      <w:pPr>
        <w:spacing w:line="360" w:lineRule="auto"/>
        <w:jc w:val="both"/>
      </w:pPr>
      <w:r w:rsidRPr="005A6551">
        <w:t xml:space="preserve"> </w:t>
      </w:r>
    </w:p>
    <w:p w14:paraId="032926C0" w14:textId="6B2ACBCD" w:rsidR="005A6551" w:rsidRPr="005A6551" w:rsidRDefault="00C77C45" w:rsidP="00196FEC">
      <w:pPr>
        <w:spacing w:line="360" w:lineRule="auto"/>
        <w:jc w:val="both"/>
      </w:pPr>
      <w:r>
        <w:t>[</w:t>
      </w:r>
      <w:r w:rsidR="00553527">
        <w:t>24</w:t>
      </w:r>
      <w:r>
        <w:t>]</w:t>
      </w:r>
      <w:r>
        <w:tab/>
      </w:r>
      <w:r w:rsidR="005A6551" w:rsidRPr="005A6551">
        <w:t>Les motifs d’appel demeureront les mêmes qu’actuellement. Toutefois, les erreurs devront découler du droit appliqué en première instance. Par exemple, une partie ne pourra pas appeler une décision pour une erreur commise en vertu du droit civil québécois si le jugement a été rendu par un tribunal autochtone.</w:t>
      </w:r>
    </w:p>
    <w:p w14:paraId="5CC0517D" w14:textId="77777777" w:rsidR="005A6551" w:rsidRPr="005A6551" w:rsidRDefault="005A6551" w:rsidP="00196FEC">
      <w:pPr>
        <w:spacing w:line="360" w:lineRule="auto"/>
        <w:jc w:val="both"/>
      </w:pPr>
    </w:p>
    <w:p w14:paraId="59031C07" w14:textId="2A7A8226" w:rsidR="005A6551" w:rsidRPr="005A6551" w:rsidRDefault="00C77C45" w:rsidP="00196FEC">
      <w:pPr>
        <w:spacing w:line="360" w:lineRule="auto"/>
        <w:jc w:val="both"/>
      </w:pPr>
      <w:r>
        <w:t>[</w:t>
      </w:r>
      <w:r w:rsidR="00553527">
        <w:t>25</w:t>
      </w:r>
      <w:r>
        <w:t>]</w:t>
      </w:r>
      <w:r>
        <w:tab/>
      </w:r>
      <w:r w:rsidR="005A6551" w:rsidRPr="005A6551">
        <w:t xml:space="preserve">En droit criminel, la Cour devra évaluer la gravité de l’acte afin de déterminer le droit applicable. Pour se faire, elle analysera le </w:t>
      </w:r>
      <w:r w:rsidR="005A6551" w:rsidRPr="00BD1875">
        <w:rPr>
          <w:i/>
        </w:rPr>
        <w:t>Code criminel</w:t>
      </w:r>
      <w:r w:rsidR="005A6551" w:rsidRPr="005A6551">
        <w:t xml:space="preserve"> (</w:t>
      </w:r>
      <w:r w:rsidR="005A6551" w:rsidRPr="00BD1875">
        <w:rPr>
          <w:i/>
        </w:rPr>
        <w:t>Code</w:t>
      </w:r>
      <w:r w:rsidR="005A6551" w:rsidRPr="005A6551">
        <w:t xml:space="preserve">) et la jurisprudence actuelle. Par exemple, la distinction entre infraction sommaire et acte criminel établie par le </w:t>
      </w:r>
      <w:r w:rsidR="005A6551" w:rsidRPr="00BD1875">
        <w:rPr>
          <w:i/>
        </w:rPr>
        <w:t>Code</w:t>
      </w:r>
      <w:r w:rsidR="005A6551" w:rsidRPr="005A6551">
        <w:t xml:space="preserve"> sera un outil permettant de dé</w:t>
      </w:r>
      <w:r w:rsidR="00BD1875">
        <w:t>terminer la gravité de l’acte</w:t>
      </w:r>
      <w:r w:rsidR="00BD1875">
        <w:rPr>
          <w:rStyle w:val="Appelnotedebasdep"/>
        </w:rPr>
        <w:footnoteReference w:id="31"/>
      </w:r>
      <w:r w:rsidR="005A6551" w:rsidRPr="005A6551">
        <w:t xml:space="preserve">. Si l’acte est jugé grave, le droit applicable sera celui du </w:t>
      </w:r>
      <w:r w:rsidR="005A6551" w:rsidRPr="005D6978">
        <w:rPr>
          <w:i/>
        </w:rPr>
        <w:t>Code</w:t>
      </w:r>
      <w:r w:rsidR="005A6551" w:rsidRPr="005A6551">
        <w:t xml:space="preserve"> pour assurer l’uniformité du système et le maintien de la confiance du public en l’administration de la justice. Si le comportement est qualifié de mineur, le droit autochtone de la nation de l’accusé sera appliqué comme en première instance. Concernant tout appel autre que criminel, la même procédure qu’en première instance sera suivie [voir paragraphe</w:t>
      </w:r>
      <w:r w:rsidR="00DF3436">
        <w:t xml:space="preserve"> 11</w:t>
      </w:r>
      <w:r w:rsidR="005A6551" w:rsidRPr="005A6551">
        <w:t>].</w:t>
      </w:r>
    </w:p>
    <w:p w14:paraId="67570D6F" w14:textId="77777777" w:rsidR="005A6551" w:rsidRPr="005A6551" w:rsidRDefault="005A6551" w:rsidP="00196FEC">
      <w:pPr>
        <w:spacing w:line="360" w:lineRule="auto"/>
        <w:jc w:val="both"/>
      </w:pPr>
      <w:r w:rsidRPr="005A6551">
        <w:t xml:space="preserve"> </w:t>
      </w:r>
    </w:p>
    <w:p w14:paraId="7BB5A934" w14:textId="032918CB" w:rsidR="000B799C" w:rsidRDefault="00C77C45" w:rsidP="00196FEC">
      <w:pPr>
        <w:spacing w:line="360" w:lineRule="auto"/>
        <w:jc w:val="both"/>
      </w:pPr>
      <w:r>
        <w:t>[</w:t>
      </w:r>
      <w:r w:rsidR="00553527">
        <w:t>26</w:t>
      </w:r>
      <w:r>
        <w:t>]</w:t>
      </w:r>
      <w:r>
        <w:tab/>
      </w:r>
      <w:r w:rsidR="005A6551" w:rsidRPr="005A6551">
        <w:t>En somme, un tel système est légitimé par le fait que la Cour suprême du Canada applique déjà le droit civil et la common law pour représenter adéq</w:t>
      </w:r>
      <w:r w:rsidR="00BD1875">
        <w:t xml:space="preserve">uatement le </w:t>
      </w:r>
      <w:proofErr w:type="spellStart"/>
      <w:r w:rsidR="00BD1875">
        <w:t>bijuridisme</w:t>
      </w:r>
      <w:proofErr w:type="spellEnd"/>
      <w:r w:rsidR="00BD1875">
        <w:t xml:space="preserve"> canadien</w:t>
      </w:r>
      <w:r w:rsidR="00BD1875">
        <w:rPr>
          <w:rStyle w:val="Appelnotedebasdep"/>
        </w:rPr>
        <w:footnoteReference w:id="32"/>
      </w:r>
      <w:r w:rsidR="005A6551" w:rsidRPr="005A6551">
        <w:t>. Ainsi, la Cour d’appel sera tout autant à même de représenter l’ensemble de la réalité juridique du Québec.</w:t>
      </w:r>
    </w:p>
    <w:p w14:paraId="7CB2F8CD" w14:textId="77777777" w:rsidR="000B799C" w:rsidRDefault="000B799C" w:rsidP="00196FEC">
      <w:pPr>
        <w:spacing w:line="360" w:lineRule="auto"/>
        <w:jc w:val="both"/>
      </w:pPr>
    </w:p>
    <w:p w14:paraId="1C0A63BA" w14:textId="083411CF" w:rsidR="000B799C" w:rsidRPr="00FD4D34" w:rsidRDefault="000B799C" w:rsidP="00196FEC">
      <w:pPr>
        <w:pStyle w:val="Titre1"/>
        <w:spacing w:line="360" w:lineRule="auto"/>
        <w:jc w:val="both"/>
        <w:rPr>
          <w:rFonts w:ascii="Times New Roman" w:hAnsi="Times New Roman" w:cs="Times New Roman"/>
          <w:b/>
          <w:color w:val="000000" w:themeColor="text1"/>
          <w:sz w:val="24"/>
          <w:szCs w:val="24"/>
        </w:rPr>
      </w:pPr>
      <w:bookmarkStart w:id="8" w:name="_Toc719100"/>
      <w:r w:rsidRPr="00FD4D34">
        <w:rPr>
          <w:rFonts w:ascii="Times New Roman" w:hAnsi="Times New Roman" w:cs="Times New Roman"/>
          <w:b/>
          <w:color w:val="000000" w:themeColor="text1"/>
          <w:sz w:val="24"/>
          <w:szCs w:val="24"/>
        </w:rPr>
        <w:t>4. Conclusion</w:t>
      </w:r>
      <w:r w:rsidR="00986FA8" w:rsidRPr="00FD4D34">
        <w:rPr>
          <w:rFonts w:ascii="Times New Roman" w:hAnsi="Times New Roman" w:cs="Times New Roman"/>
          <w:b/>
          <w:color w:val="000000" w:themeColor="text1"/>
          <w:sz w:val="24"/>
          <w:szCs w:val="24"/>
        </w:rPr>
        <w:t> : Dispositions proposées</w:t>
      </w:r>
      <w:bookmarkEnd w:id="8"/>
    </w:p>
    <w:p w14:paraId="55A09403" w14:textId="59E2C665" w:rsidR="000B799C" w:rsidRPr="00AB3860" w:rsidRDefault="000B799C" w:rsidP="00196FEC">
      <w:pPr>
        <w:spacing w:line="360" w:lineRule="auto"/>
        <w:ind w:firstLine="360"/>
        <w:rPr>
          <w:b/>
        </w:rPr>
      </w:pPr>
    </w:p>
    <w:p w14:paraId="091DB1A3" w14:textId="1C781B73" w:rsidR="005F4575" w:rsidRDefault="005F4575" w:rsidP="00196FEC">
      <w:pPr>
        <w:pStyle w:val="Normalweb"/>
        <w:spacing w:before="0" w:beforeAutospacing="0" w:after="0" w:afterAutospacing="0" w:line="360" w:lineRule="auto"/>
        <w:jc w:val="both"/>
        <w:rPr>
          <w:color w:val="000000"/>
          <w:shd w:val="clear" w:color="auto" w:fill="FFFFFF"/>
        </w:rPr>
      </w:pPr>
      <w:r>
        <w:rPr>
          <w:color w:val="000000"/>
          <w:shd w:val="clear" w:color="auto" w:fill="FFFFFF"/>
        </w:rPr>
        <w:t>[27]</w:t>
      </w:r>
      <w:r>
        <w:rPr>
          <w:color w:val="000000"/>
          <w:shd w:val="clear" w:color="auto" w:fill="FFFFFF"/>
        </w:rPr>
        <w:tab/>
      </w:r>
      <w:r w:rsidR="002E28D4">
        <w:rPr>
          <w:color w:val="000000"/>
          <w:shd w:val="clear" w:color="auto" w:fill="FFFFFF"/>
        </w:rPr>
        <w:t xml:space="preserve">À la lumière du modèle présenté, nous proposons les dispositions suivantes afin de le mettre en </w:t>
      </w:r>
      <w:r w:rsidR="004E66DF">
        <w:rPr>
          <w:color w:val="000000"/>
          <w:shd w:val="clear" w:color="auto" w:fill="FFFFFF"/>
        </w:rPr>
        <w:t>œ</w:t>
      </w:r>
      <w:r w:rsidR="002E28D4">
        <w:rPr>
          <w:color w:val="000000"/>
          <w:shd w:val="clear" w:color="auto" w:fill="FFFFFF"/>
        </w:rPr>
        <w:t>uvre</w:t>
      </w:r>
      <w:r w:rsidR="004E66DF">
        <w:rPr>
          <w:color w:val="000000"/>
          <w:shd w:val="clear" w:color="auto" w:fill="FFFFFF"/>
        </w:rPr>
        <w:t> </w:t>
      </w:r>
      <w:r w:rsidR="002E28D4">
        <w:rPr>
          <w:color w:val="000000"/>
          <w:shd w:val="clear" w:color="auto" w:fill="FFFFFF"/>
        </w:rPr>
        <w:t>:  </w:t>
      </w:r>
    </w:p>
    <w:p w14:paraId="46C1D8B4" w14:textId="77777777" w:rsidR="005F4575" w:rsidRPr="005F4575" w:rsidRDefault="005F4575" w:rsidP="00196FEC">
      <w:pPr>
        <w:pStyle w:val="Normalweb"/>
        <w:spacing w:before="0" w:beforeAutospacing="0" w:after="0" w:afterAutospacing="0" w:line="360" w:lineRule="auto"/>
        <w:jc w:val="both"/>
        <w:rPr>
          <w:color w:val="000000"/>
          <w:shd w:val="clear" w:color="auto" w:fill="FFFFFF"/>
        </w:rPr>
      </w:pPr>
    </w:p>
    <w:p w14:paraId="7BCBA004" w14:textId="77777777" w:rsidR="009E2072" w:rsidRDefault="002E28D4" w:rsidP="00196FEC">
      <w:pPr>
        <w:pStyle w:val="Normalweb"/>
        <w:numPr>
          <w:ilvl w:val="0"/>
          <w:numId w:val="8"/>
        </w:numPr>
        <w:shd w:val="clear" w:color="auto" w:fill="FFFFFF"/>
        <w:tabs>
          <w:tab w:val="clear" w:pos="720"/>
          <w:tab w:val="num" w:pos="360"/>
        </w:tabs>
        <w:spacing w:before="0" w:beforeAutospacing="0" w:after="0" w:afterAutospacing="0" w:line="360" w:lineRule="auto"/>
        <w:ind w:left="360"/>
        <w:jc w:val="both"/>
        <w:textAlignment w:val="baseline"/>
        <w:rPr>
          <w:color w:val="000000"/>
        </w:rPr>
      </w:pPr>
      <w:r>
        <w:rPr>
          <w:color w:val="000000"/>
        </w:rPr>
        <w:t xml:space="preserve">Chacune des onze nations autochtones du Québec établit et administre un tribunal de première instance suivant le droit qui lui est propre. </w:t>
      </w:r>
    </w:p>
    <w:p w14:paraId="3A6CA176" w14:textId="77777777" w:rsidR="009E2072" w:rsidRDefault="009E2072" w:rsidP="00196FEC">
      <w:pPr>
        <w:pStyle w:val="Normalweb"/>
        <w:numPr>
          <w:ilvl w:val="1"/>
          <w:numId w:val="8"/>
        </w:numPr>
        <w:shd w:val="clear" w:color="auto" w:fill="FFFFFF"/>
        <w:spacing w:before="0" w:beforeAutospacing="0" w:after="0" w:afterAutospacing="0" w:line="360" w:lineRule="auto"/>
        <w:jc w:val="both"/>
        <w:textAlignment w:val="baseline"/>
        <w:rPr>
          <w:color w:val="000000"/>
        </w:rPr>
      </w:pPr>
      <w:r w:rsidRPr="009E2072">
        <w:rPr>
          <w:color w:val="000000"/>
        </w:rPr>
        <w:t>Chaque nation est responsable de nommer ses juges et ses procureurs.</w:t>
      </w:r>
    </w:p>
    <w:p w14:paraId="747AEFD3" w14:textId="77777777" w:rsidR="009E2072" w:rsidRDefault="009E2072" w:rsidP="00196FEC">
      <w:pPr>
        <w:pStyle w:val="Normalweb"/>
        <w:numPr>
          <w:ilvl w:val="1"/>
          <w:numId w:val="8"/>
        </w:numPr>
        <w:shd w:val="clear" w:color="auto" w:fill="FFFFFF"/>
        <w:spacing w:before="0" w:beforeAutospacing="0" w:after="0" w:afterAutospacing="0" w:line="360" w:lineRule="auto"/>
        <w:jc w:val="both"/>
        <w:textAlignment w:val="baseline"/>
        <w:rPr>
          <w:color w:val="000000"/>
        </w:rPr>
      </w:pPr>
      <w:r w:rsidRPr="009E2072">
        <w:rPr>
          <w:color w:val="000000"/>
        </w:rPr>
        <w:t xml:space="preserve">Ces tribunaux autochtones sont financés par l’État québécois. </w:t>
      </w:r>
    </w:p>
    <w:p w14:paraId="2B4F6831" w14:textId="77777777" w:rsidR="009E2072" w:rsidRPr="009E2072" w:rsidRDefault="009E2072" w:rsidP="00196FEC">
      <w:pPr>
        <w:pStyle w:val="Normalweb"/>
        <w:numPr>
          <w:ilvl w:val="1"/>
          <w:numId w:val="8"/>
        </w:numPr>
        <w:shd w:val="clear" w:color="auto" w:fill="FFFFFF"/>
        <w:spacing w:before="0" w:beforeAutospacing="0" w:after="0" w:afterAutospacing="0" w:line="360" w:lineRule="auto"/>
        <w:jc w:val="both"/>
        <w:textAlignment w:val="baseline"/>
        <w:rPr>
          <w:color w:val="000000"/>
        </w:rPr>
      </w:pPr>
      <w:r w:rsidRPr="009E2072">
        <w:rPr>
          <w:color w:val="000000"/>
        </w:rPr>
        <w:t xml:space="preserve">L’État québécois reconnaît la légitimité des décisions de ces tribunaux autochtones, ainsi que leur effet contraignant en droit. </w:t>
      </w:r>
    </w:p>
    <w:p w14:paraId="4D452209" w14:textId="77777777" w:rsidR="009E2072" w:rsidRDefault="009E2072" w:rsidP="00196FEC">
      <w:pPr>
        <w:pStyle w:val="Normalweb"/>
        <w:shd w:val="clear" w:color="auto" w:fill="FFFFFF"/>
        <w:spacing w:before="0" w:beforeAutospacing="0" w:after="0" w:afterAutospacing="0" w:line="360" w:lineRule="auto"/>
        <w:jc w:val="both"/>
        <w:textAlignment w:val="baseline"/>
        <w:rPr>
          <w:color w:val="000000"/>
        </w:rPr>
      </w:pPr>
    </w:p>
    <w:p w14:paraId="368E6416" w14:textId="77777777" w:rsidR="009E2072" w:rsidRDefault="002E28D4" w:rsidP="00196FEC">
      <w:pPr>
        <w:pStyle w:val="Normalweb"/>
        <w:numPr>
          <w:ilvl w:val="0"/>
          <w:numId w:val="8"/>
        </w:numPr>
        <w:shd w:val="clear" w:color="auto" w:fill="FFFFFF"/>
        <w:tabs>
          <w:tab w:val="clear" w:pos="720"/>
          <w:tab w:val="num" w:pos="360"/>
        </w:tabs>
        <w:spacing w:before="0" w:beforeAutospacing="0" w:after="0" w:afterAutospacing="0" w:line="360" w:lineRule="auto"/>
        <w:ind w:left="360"/>
        <w:jc w:val="both"/>
        <w:textAlignment w:val="baseline"/>
        <w:rPr>
          <w:color w:val="000000"/>
        </w:rPr>
      </w:pPr>
      <w:r w:rsidRPr="009E2072">
        <w:rPr>
          <w:color w:val="000000"/>
        </w:rPr>
        <w:t xml:space="preserve">Chacune des onze nations autochtones nomme deux juges </w:t>
      </w:r>
      <w:r w:rsidRPr="009E2072">
        <w:rPr>
          <w:i/>
          <w:iCs/>
          <w:color w:val="000000"/>
        </w:rPr>
        <w:t>ad hoc</w:t>
      </w:r>
      <w:r w:rsidRPr="009E2072">
        <w:rPr>
          <w:color w:val="000000"/>
        </w:rPr>
        <w:t xml:space="preserve"> qui siégeront à la Cour d’appel du Québec pour toute affaire provenant d’un tribunal autochtone de première instance</w:t>
      </w:r>
      <w:r w:rsidR="009E2072">
        <w:rPr>
          <w:color w:val="000000"/>
        </w:rPr>
        <w:t>.</w:t>
      </w:r>
    </w:p>
    <w:p w14:paraId="426C15A4" w14:textId="77777777" w:rsidR="009E2072" w:rsidRDefault="002E28D4" w:rsidP="00196FEC">
      <w:pPr>
        <w:pStyle w:val="Normalweb"/>
        <w:numPr>
          <w:ilvl w:val="1"/>
          <w:numId w:val="8"/>
        </w:numPr>
        <w:shd w:val="clear" w:color="auto" w:fill="FFFFFF"/>
        <w:spacing w:before="0" w:beforeAutospacing="0" w:after="0" w:afterAutospacing="0" w:line="360" w:lineRule="auto"/>
        <w:jc w:val="both"/>
        <w:textAlignment w:val="baseline"/>
        <w:rPr>
          <w:color w:val="000000"/>
        </w:rPr>
      </w:pPr>
      <w:r w:rsidRPr="009E2072">
        <w:rPr>
          <w:color w:val="000000"/>
        </w:rPr>
        <w:t xml:space="preserve">Les juges </w:t>
      </w:r>
      <w:r w:rsidRPr="009E2072">
        <w:rPr>
          <w:i/>
          <w:iCs/>
          <w:color w:val="000000"/>
        </w:rPr>
        <w:t xml:space="preserve">ad hoc </w:t>
      </w:r>
      <w:r w:rsidRPr="009E2072">
        <w:rPr>
          <w:color w:val="000000"/>
        </w:rPr>
        <w:t>autochtones seront majoritaires sur le banc lorsqu’ils seront appelés à siéger.</w:t>
      </w:r>
    </w:p>
    <w:p w14:paraId="626EB2AE" w14:textId="478714B6" w:rsidR="002E28D4" w:rsidRPr="009E2072" w:rsidRDefault="002E28D4" w:rsidP="00196FEC">
      <w:pPr>
        <w:pStyle w:val="Normalweb"/>
        <w:numPr>
          <w:ilvl w:val="1"/>
          <w:numId w:val="8"/>
        </w:numPr>
        <w:shd w:val="clear" w:color="auto" w:fill="FFFFFF"/>
        <w:spacing w:before="0" w:beforeAutospacing="0" w:after="0" w:afterAutospacing="0" w:line="360" w:lineRule="auto"/>
        <w:jc w:val="both"/>
        <w:textAlignment w:val="baseline"/>
        <w:rPr>
          <w:color w:val="000000"/>
        </w:rPr>
      </w:pPr>
      <w:r w:rsidRPr="009E2072">
        <w:rPr>
          <w:color w:val="000000"/>
        </w:rPr>
        <w:t xml:space="preserve">Lorsque le banc est composé de plus de trois juges, un ou des juges élus d’autres nations seront </w:t>
      </w:r>
      <w:proofErr w:type="gramStart"/>
      <w:r w:rsidRPr="009E2072">
        <w:rPr>
          <w:color w:val="000000"/>
        </w:rPr>
        <w:t>mandatés</w:t>
      </w:r>
      <w:proofErr w:type="gramEnd"/>
      <w:r w:rsidRPr="009E2072">
        <w:rPr>
          <w:color w:val="000000"/>
        </w:rPr>
        <w:t xml:space="preserve">. </w:t>
      </w:r>
    </w:p>
    <w:p w14:paraId="4BC9970D" w14:textId="77777777" w:rsidR="002E28D4" w:rsidRDefault="002E28D4" w:rsidP="00196FEC">
      <w:pPr>
        <w:spacing w:line="360" w:lineRule="auto"/>
        <w:rPr>
          <w:rFonts w:eastAsia="Times New Roman"/>
        </w:rPr>
      </w:pPr>
    </w:p>
    <w:p w14:paraId="0FB49F66" w14:textId="7B9C3A00" w:rsidR="002E28D4" w:rsidRDefault="005F4575" w:rsidP="00196FEC">
      <w:pPr>
        <w:pStyle w:val="Normalweb"/>
        <w:spacing w:before="0" w:beforeAutospacing="0" w:after="0" w:afterAutospacing="0" w:line="360" w:lineRule="auto"/>
        <w:jc w:val="both"/>
      </w:pPr>
      <w:r>
        <w:rPr>
          <w:color w:val="000000"/>
          <w:shd w:val="clear" w:color="auto" w:fill="FFFFFF"/>
        </w:rPr>
        <w:t>[28]</w:t>
      </w:r>
      <w:r>
        <w:rPr>
          <w:color w:val="000000"/>
          <w:shd w:val="clear" w:color="auto" w:fill="FFFFFF"/>
        </w:rPr>
        <w:tab/>
      </w:r>
      <w:r w:rsidR="002E28D4">
        <w:rPr>
          <w:color w:val="000000"/>
          <w:shd w:val="clear" w:color="auto" w:fill="FFFFFF"/>
        </w:rPr>
        <w:t>Ces dispositions, incluses dans une future Constitution du Québec, permettraient aux peuples autochtones de s’autodéterminer en ce qui a trait à l’administration de la justice.</w:t>
      </w:r>
    </w:p>
    <w:p w14:paraId="1F53BF15" w14:textId="77777777" w:rsidR="002E28D4" w:rsidRDefault="002E28D4" w:rsidP="00C9131D">
      <w:pPr>
        <w:spacing w:line="360" w:lineRule="auto"/>
        <w:rPr>
          <w:rFonts w:eastAsia="Times New Roman"/>
        </w:rPr>
      </w:pPr>
    </w:p>
    <w:p w14:paraId="795E4A19" w14:textId="77777777" w:rsidR="001446B5" w:rsidRDefault="001446B5" w:rsidP="00C9131D">
      <w:pPr>
        <w:spacing w:line="360" w:lineRule="auto"/>
        <w:rPr>
          <w:i/>
        </w:rPr>
      </w:pPr>
    </w:p>
    <w:p w14:paraId="314DA3FC" w14:textId="77777777" w:rsidR="001446B5" w:rsidRDefault="001446B5" w:rsidP="00C9131D">
      <w:pPr>
        <w:spacing w:line="360" w:lineRule="auto"/>
        <w:rPr>
          <w:i/>
        </w:rPr>
      </w:pPr>
    </w:p>
    <w:p w14:paraId="0A98BA9D" w14:textId="77777777" w:rsidR="001446B5" w:rsidRDefault="001446B5" w:rsidP="00C9131D">
      <w:pPr>
        <w:spacing w:line="360" w:lineRule="auto"/>
        <w:rPr>
          <w:i/>
        </w:rPr>
      </w:pPr>
    </w:p>
    <w:p w14:paraId="203BD821" w14:textId="77777777" w:rsidR="001446B5" w:rsidRDefault="001446B5" w:rsidP="00C9131D">
      <w:pPr>
        <w:spacing w:line="360" w:lineRule="auto"/>
        <w:rPr>
          <w:i/>
        </w:rPr>
      </w:pPr>
    </w:p>
    <w:p w14:paraId="32DF1B38" w14:textId="77777777" w:rsidR="001446B5" w:rsidRDefault="001446B5" w:rsidP="00C9131D">
      <w:pPr>
        <w:spacing w:line="360" w:lineRule="auto"/>
        <w:rPr>
          <w:i/>
        </w:rPr>
      </w:pPr>
    </w:p>
    <w:p w14:paraId="3423F3C8" w14:textId="77777777" w:rsidR="001446B5" w:rsidRDefault="001446B5" w:rsidP="00C9131D">
      <w:pPr>
        <w:spacing w:line="360" w:lineRule="auto"/>
        <w:rPr>
          <w:i/>
        </w:rPr>
      </w:pPr>
    </w:p>
    <w:p w14:paraId="48750A2A" w14:textId="77777777" w:rsidR="00961153" w:rsidRDefault="00961153" w:rsidP="00C9131D">
      <w:pPr>
        <w:spacing w:line="360" w:lineRule="auto"/>
        <w:rPr>
          <w:i/>
        </w:rPr>
      </w:pPr>
    </w:p>
    <w:p w14:paraId="4D13CD8A" w14:textId="77777777" w:rsidR="00961153" w:rsidRDefault="00961153" w:rsidP="00C9131D">
      <w:pPr>
        <w:spacing w:line="360" w:lineRule="auto"/>
        <w:rPr>
          <w:i/>
        </w:rPr>
      </w:pPr>
    </w:p>
    <w:p w14:paraId="0BC110A3" w14:textId="77777777" w:rsidR="00961153" w:rsidRDefault="00961153" w:rsidP="00C24FA6">
      <w:pPr>
        <w:spacing w:line="360" w:lineRule="auto"/>
        <w:rPr>
          <w:i/>
        </w:rPr>
      </w:pPr>
    </w:p>
    <w:p w14:paraId="08A7E71A" w14:textId="77777777" w:rsidR="00961153" w:rsidRDefault="00961153" w:rsidP="00C24FA6">
      <w:pPr>
        <w:spacing w:line="360" w:lineRule="auto"/>
        <w:rPr>
          <w:i/>
        </w:rPr>
      </w:pPr>
    </w:p>
    <w:p w14:paraId="2C599887" w14:textId="77777777" w:rsidR="00961153" w:rsidRDefault="00961153" w:rsidP="00C24FA6">
      <w:pPr>
        <w:spacing w:line="360" w:lineRule="auto"/>
        <w:rPr>
          <w:i/>
        </w:rPr>
      </w:pPr>
    </w:p>
    <w:p w14:paraId="043D42D8" w14:textId="77777777" w:rsidR="00961153" w:rsidRDefault="00961153" w:rsidP="00C24FA6">
      <w:pPr>
        <w:spacing w:line="360" w:lineRule="auto"/>
        <w:rPr>
          <w:i/>
        </w:rPr>
      </w:pPr>
    </w:p>
    <w:p w14:paraId="14EFC082" w14:textId="77777777" w:rsidR="001A2272" w:rsidRDefault="001A2272">
      <w:pPr>
        <w:rPr>
          <w:i/>
        </w:rPr>
      </w:pPr>
      <w:r>
        <w:rPr>
          <w:i/>
        </w:rPr>
        <w:br w:type="page"/>
      </w:r>
    </w:p>
    <w:p w14:paraId="4D2522D7" w14:textId="6DE97E37" w:rsidR="00B2268F" w:rsidRPr="00FD4D34" w:rsidRDefault="00B2268F" w:rsidP="0070349D">
      <w:pPr>
        <w:pStyle w:val="Titre1"/>
        <w:spacing w:line="360" w:lineRule="auto"/>
        <w:jc w:val="both"/>
        <w:rPr>
          <w:rFonts w:ascii="Times New Roman" w:hAnsi="Times New Roman" w:cs="Times New Roman"/>
          <w:b/>
          <w:color w:val="000000" w:themeColor="text1"/>
          <w:sz w:val="24"/>
          <w:szCs w:val="24"/>
        </w:rPr>
      </w:pPr>
      <w:bookmarkStart w:id="9" w:name="_Toc719101"/>
      <w:r w:rsidRPr="00FD4D34">
        <w:rPr>
          <w:rFonts w:ascii="Times New Roman" w:hAnsi="Times New Roman" w:cs="Times New Roman"/>
          <w:b/>
          <w:color w:val="000000" w:themeColor="text1"/>
          <w:sz w:val="24"/>
          <w:szCs w:val="24"/>
        </w:rPr>
        <w:lastRenderedPageBreak/>
        <w:t>Bibliographie</w:t>
      </w:r>
      <w:bookmarkEnd w:id="9"/>
    </w:p>
    <w:p w14:paraId="0F7F5AFD" w14:textId="25E4FC18" w:rsidR="000145C7" w:rsidRPr="000145C7" w:rsidRDefault="000145C7" w:rsidP="000145C7">
      <w:pPr>
        <w:ind w:left="142"/>
      </w:pPr>
      <w:r w:rsidRPr="004F4F17">
        <w:t>DOCUMENTS CONSTITUTIONNELS</w:t>
      </w:r>
    </w:p>
    <w:p w14:paraId="23D253A9" w14:textId="76FA0E58" w:rsidR="000145C7" w:rsidRPr="004F4F17" w:rsidRDefault="000145C7" w:rsidP="000145C7">
      <w:pPr>
        <w:ind w:left="142"/>
      </w:pPr>
      <w:r w:rsidRPr="002E28D4">
        <w:rPr>
          <w:i/>
          <w:color w:val="1D2129"/>
        </w:rPr>
        <w:t>Proclamation</w:t>
      </w:r>
      <w:r>
        <w:rPr>
          <w:i/>
          <w:color w:val="1D2129"/>
        </w:rPr>
        <w:t xml:space="preserve"> royale</w:t>
      </w:r>
      <w:r w:rsidRPr="002E28D4">
        <w:rPr>
          <w:i/>
          <w:color w:val="1D2129"/>
        </w:rPr>
        <w:t>, 1763</w:t>
      </w:r>
      <w:r w:rsidRPr="002E28D4">
        <w:rPr>
          <w:color w:val="1D2129"/>
        </w:rPr>
        <w:t>, RSC, 1985, App II, No 1.</w:t>
      </w:r>
    </w:p>
    <w:p w14:paraId="0464A2DF" w14:textId="721B8C5F" w:rsidR="00E576BF" w:rsidRPr="000145C7" w:rsidRDefault="000145C7" w:rsidP="000145C7">
      <w:pPr>
        <w:ind w:left="142"/>
      </w:pPr>
      <w:r w:rsidRPr="002E28D4">
        <w:rPr>
          <w:i/>
        </w:rPr>
        <w:t>Traité N</w:t>
      </w:r>
      <w:r w:rsidRPr="002E28D4">
        <w:rPr>
          <w:i/>
          <w:vertAlign w:val="superscript"/>
        </w:rPr>
        <w:t>o</w:t>
      </w:r>
      <w:r w:rsidRPr="002E28D4">
        <w:rPr>
          <w:i/>
        </w:rPr>
        <w:t xml:space="preserve"> 7 et de son supplément entre Sa Majesté la Reine et les </w:t>
      </w:r>
      <w:proofErr w:type="spellStart"/>
      <w:r w:rsidRPr="002E28D4">
        <w:rPr>
          <w:i/>
        </w:rPr>
        <w:t>Pieds-Noirs</w:t>
      </w:r>
      <w:proofErr w:type="spellEnd"/>
      <w:r w:rsidRPr="002E28D4">
        <w:rPr>
          <w:i/>
        </w:rPr>
        <w:t xml:space="preserve"> et d'autres tribus indiennes, à Blackfoot </w:t>
      </w:r>
      <w:proofErr w:type="spellStart"/>
      <w:r w:rsidRPr="002E28D4">
        <w:rPr>
          <w:i/>
        </w:rPr>
        <w:t>Crossing</w:t>
      </w:r>
      <w:proofErr w:type="spellEnd"/>
      <w:r w:rsidRPr="002E28D4">
        <w:rPr>
          <w:i/>
        </w:rPr>
        <w:t>, sur la rivière Bow, et à Fort Macleod</w:t>
      </w:r>
      <w:r w:rsidRPr="004F4F17">
        <w:t xml:space="preserve">, 4 décembre 1877, en ligne : </w:t>
      </w:r>
      <w:r w:rsidRPr="002E28D4">
        <w:rPr>
          <w:i/>
        </w:rPr>
        <w:t>Gouvernement du Canada</w:t>
      </w:r>
      <w:r w:rsidRPr="004F4F17">
        <w:t xml:space="preserve"> &lt;aadnc-aandc.gc.ca/fra/1100100028793/1100100028803&gt;.</w:t>
      </w:r>
    </w:p>
    <w:p w14:paraId="206863C9" w14:textId="3A9CEFF4" w:rsidR="00746279" w:rsidRDefault="00563F2A" w:rsidP="00C1799B">
      <w:pPr>
        <w:ind w:left="142"/>
        <w:rPr>
          <w:color w:val="111111"/>
          <w:shd w:val="clear" w:color="auto" w:fill="FFFFFF"/>
          <w:lang w:eastAsia="fr-CA"/>
        </w:rPr>
      </w:pPr>
      <w:r>
        <w:rPr>
          <w:color w:val="111111"/>
          <w:shd w:val="clear" w:color="auto" w:fill="FFFFFF"/>
          <w:lang w:eastAsia="fr-CA"/>
        </w:rPr>
        <w:t>DOCTRINE</w:t>
      </w:r>
      <w:r w:rsidR="00E576BF" w:rsidRPr="002E28D4">
        <w:rPr>
          <w:color w:val="111111"/>
          <w:shd w:val="clear" w:color="auto" w:fill="FFFFFF"/>
          <w:lang w:eastAsia="fr-CA"/>
        </w:rPr>
        <w:t> : DOCUMENTS PDF</w:t>
      </w:r>
    </w:p>
    <w:p w14:paraId="1BFE3B84" w14:textId="79D8A9CF" w:rsidR="00563F2A" w:rsidRPr="00563F2A" w:rsidRDefault="00563F2A" w:rsidP="00563F2A">
      <w:pPr>
        <w:ind w:left="142"/>
      </w:pPr>
      <w:r w:rsidRPr="004F4F17">
        <w:t>Allard</w:t>
      </w:r>
      <w:r>
        <w:t>, France</w:t>
      </w:r>
      <w:r w:rsidRPr="004F4F17">
        <w:t>, « La Cour suprême du Canada et son impact sur l’articu</w:t>
      </w:r>
      <w:r>
        <w:t xml:space="preserve">lation du </w:t>
      </w:r>
      <w:proofErr w:type="spellStart"/>
      <w:r>
        <w:t>bijuridisme</w:t>
      </w:r>
      <w:proofErr w:type="spellEnd"/>
      <w:r>
        <w:t xml:space="preserve"> »</w:t>
      </w:r>
      <w:r w:rsidRPr="004F4F17">
        <w:t>, en ligne (</w:t>
      </w:r>
      <w:proofErr w:type="spellStart"/>
      <w:r w:rsidRPr="004F4F17">
        <w:t>pdf</w:t>
      </w:r>
      <w:proofErr w:type="spellEnd"/>
      <w:r w:rsidRPr="004F4F17">
        <w:t xml:space="preserve">) : </w:t>
      </w:r>
      <w:r w:rsidRPr="00A832F4">
        <w:rPr>
          <w:i/>
        </w:rPr>
        <w:t>Ministère de la Justice</w:t>
      </w:r>
      <w:r w:rsidRPr="004F4F17">
        <w:t xml:space="preserve"> &lt;justice.gc.ca/fra/pr-rp/sjc-csj/harmonization/hlf-hfl/f3-b3/bf3a.pdf&gt;.</w:t>
      </w:r>
    </w:p>
    <w:p w14:paraId="467E734F" w14:textId="0AD7CD48" w:rsidR="00746279" w:rsidRPr="00A76666" w:rsidRDefault="00746279" w:rsidP="00C1799B">
      <w:pPr>
        <w:pStyle w:val="Notedebasdepage"/>
        <w:ind w:left="142"/>
      </w:pPr>
      <w:r w:rsidRPr="00E576BF">
        <w:t>Commission de la santé et des services sociaux des premières nations du Québec et du Labrador (CSSSPNQL), « Pensionnats autochtones et services de la protection de la jeunesse » (2018) à la p 2, en ligne (</w:t>
      </w:r>
      <w:proofErr w:type="spellStart"/>
      <w:r w:rsidRPr="00E576BF">
        <w:t>pdf</w:t>
      </w:r>
      <w:proofErr w:type="spellEnd"/>
      <w:r w:rsidRPr="00E576BF">
        <w:t xml:space="preserve">) : </w:t>
      </w:r>
      <w:r w:rsidRPr="00E576BF">
        <w:rPr>
          <w:i/>
        </w:rPr>
        <w:t>CSSSPNQL</w:t>
      </w:r>
      <w:r w:rsidRPr="00E576BF">
        <w:t xml:space="preserve"> &lt;</w:t>
      </w:r>
      <w:proofErr w:type="gramStart"/>
      <w:r w:rsidRPr="00E576BF">
        <w:t>cssspnql.com/docs/default-source/ers-phase-3/pensionnats_ers_phase-3_fra.pdf?sfvrsn</w:t>
      </w:r>
      <w:proofErr w:type="gramEnd"/>
      <w:r w:rsidRPr="00E576BF">
        <w:t xml:space="preserve">=2&gt;. </w:t>
      </w:r>
    </w:p>
    <w:p w14:paraId="2DDC1E32" w14:textId="3332187B" w:rsidR="00E576BF" w:rsidRPr="00A76666" w:rsidRDefault="00746279" w:rsidP="00C1799B">
      <w:pPr>
        <w:pStyle w:val="Notedebasdepage"/>
        <w:ind w:left="142"/>
      </w:pPr>
      <w:r w:rsidRPr="00E576BF">
        <w:t>Commission de vérité et réconciliation du Canada (CVR), « Honorer la vérité, réconcilier pour l’avenir » (2015), en ligne (</w:t>
      </w:r>
      <w:proofErr w:type="spellStart"/>
      <w:r w:rsidRPr="00E576BF">
        <w:t>pdf</w:t>
      </w:r>
      <w:proofErr w:type="spellEnd"/>
      <w:r w:rsidRPr="00E576BF">
        <w:t xml:space="preserve">) : </w:t>
      </w:r>
      <w:r w:rsidRPr="00E576BF">
        <w:rPr>
          <w:i/>
        </w:rPr>
        <w:t>CVR</w:t>
      </w:r>
      <w:r w:rsidRPr="00E576BF">
        <w:t xml:space="preserve"> &lt;trc.ca/</w:t>
      </w:r>
      <w:proofErr w:type="spellStart"/>
      <w:r w:rsidRPr="00E576BF">
        <w:t>assets</w:t>
      </w:r>
      <w:proofErr w:type="spellEnd"/>
      <w:r w:rsidRPr="00E576BF">
        <w:t>/</w:t>
      </w:r>
      <w:proofErr w:type="spellStart"/>
      <w:r w:rsidRPr="00E576BF">
        <w:t>pdf</w:t>
      </w:r>
      <w:proofErr w:type="spellEnd"/>
      <w:r w:rsidRPr="00E576BF">
        <w:t>/French_Exec_Summary_web_revised.pdf&gt;.</w:t>
      </w:r>
    </w:p>
    <w:p w14:paraId="641BAAAB" w14:textId="0E0C5883" w:rsidR="008721CF" w:rsidRPr="000145C7" w:rsidRDefault="00E576BF" w:rsidP="008721CF">
      <w:pPr>
        <w:ind w:left="142"/>
        <w:rPr>
          <w:color w:val="111111"/>
          <w:shd w:val="clear" w:color="auto" w:fill="FFFFFF"/>
          <w:lang w:eastAsia="fr-CA"/>
        </w:rPr>
      </w:pPr>
      <w:r w:rsidRPr="002E28D4">
        <w:rPr>
          <w:color w:val="111111"/>
          <w:shd w:val="clear" w:color="auto" w:fill="FFFFFF"/>
          <w:lang w:eastAsia="fr-CA"/>
        </w:rPr>
        <w:t xml:space="preserve">Friedland, Hadley, « </w:t>
      </w:r>
      <w:proofErr w:type="spellStart"/>
      <w:r w:rsidRPr="002E28D4">
        <w:rPr>
          <w:color w:val="111111"/>
          <w:shd w:val="clear" w:color="auto" w:fill="FFFFFF"/>
          <w:lang w:eastAsia="fr-CA"/>
        </w:rPr>
        <w:t>Accessing</w:t>
      </w:r>
      <w:proofErr w:type="spellEnd"/>
      <w:r w:rsidRPr="002E28D4">
        <w:rPr>
          <w:color w:val="111111"/>
          <w:shd w:val="clear" w:color="auto" w:fill="FFFFFF"/>
          <w:lang w:eastAsia="fr-CA"/>
        </w:rPr>
        <w:t xml:space="preserve"> Justice and </w:t>
      </w:r>
      <w:proofErr w:type="spellStart"/>
      <w:r w:rsidRPr="002E28D4">
        <w:rPr>
          <w:color w:val="111111"/>
          <w:shd w:val="clear" w:color="auto" w:fill="FFFFFF"/>
          <w:lang w:eastAsia="fr-CA"/>
        </w:rPr>
        <w:t>Reconciliation</w:t>
      </w:r>
      <w:proofErr w:type="spellEnd"/>
      <w:r w:rsidRPr="002E28D4">
        <w:rPr>
          <w:color w:val="111111"/>
          <w:shd w:val="clear" w:color="auto" w:fill="FFFFFF"/>
          <w:lang w:eastAsia="fr-CA"/>
        </w:rPr>
        <w:t xml:space="preserve"> – Cree </w:t>
      </w:r>
      <w:proofErr w:type="spellStart"/>
      <w:r w:rsidRPr="002E28D4">
        <w:rPr>
          <w:color w:val="111111"/>
          <w:shd w:val="clear" w:color="auto" w:fill="FFFFFF"/>
          <w:lang w:eastAsia="fr-CA"/>
        </w:rPr>
        <w:t>Legal</w:t>
      </w:r>
      <w:proofErr w:type="spellEnd"/>
      <w:r w:rsidRPr="002E28D4">
        <w:rPr>
          <w:color w:val="111111"/>
          <w:shd w:val="clear" w:color="auto" w:fill="FFFFFF"/>
          <w:lang w:eastAsia="fr-CA"/>
        </w:rPr>
        <w:t xml:space="preserve"> Trad</w:t>
      </w:r>
      <w:r w:rsidR="002E28D4" w:rsidRPr="002E28D4">
        <w:rPr>
          <w:color w:val="111111"/>
          <w:shd w:val="clear" w:color="auto" w:fill="FFFFFF"/>
          <w:lang w:eastAsia="fr-CA"/>
        </w:rPr>
        <w:t>itions Report » (2012)</w:t>
      </w:r>
      <w:r w:rsidRPr="002E28D4">
        <w:rPr>
          <w:color w:val="111111"/>
          <w:shd w:val="clear" w:color="auto" w:fill="FFFFFF"/>
          <w:lang w:eastAsia="fr-CA"/>
        </w:rPr>
        <w:t>, en ligne (</w:t>
      </w:r>
      <w:proofErr w:type="spellStart"/>
      <w:r w:rsidRPr="002E28D4">
        <w:rPr>
          <w:color w:val="111111"/>
          <w:shd w:val="clear" w:color="auto" w:fill="FFFFFF"/>
          <w:lang w:eastAsia="fr-CA"/>
        </w:rPr>
        <w:t>pdf</w:t>
      </w:r>
      <w:proofErr w:type="spellEnd"/>
      <w:r w:rsidRPr="002E28D4">
        <w:rPr>
          <w:color w:val="111111"/>
          <w:shd w:val="clear" w:color="auto" w:fill="FFFFFF"/>
          <w:lang w:eastAsia="fr-CA"/>
        </w:rPr>
        <w:t>) : &lt;cerp.gouv.qc.ca/fileadmin/Fichiers_clients/Documents_deposes_a_la_Commission/P-267.pdf&gt;.</w:t>
      </w:r>
    </w:p>
    <w:p w14:paraId="5FC8EAC3" w14:textId="632E14AF" w:rsidR="00746279" w:rsidRPr="00A74EC3" w:rsidRDefault="000145C7" w:rsidP="000145C7">
      <w:pPr>
        <w:pStyle w:val="Notedebasdepage"/>
        <w:ind w:left="142"/>
        <w:rPr>
          <w:lang w:val="en-US"/>
        </w:rPr>
      </w:pPr>
      <w:proofErr w:type="gramStart"/>
      <w:r w:rsidRPr="00A74EC3">
        <w:rPr>
          <w:lang w:val="en-US"/>
        </w:rPr>
        <w:t xml:space="preserve">DOCTRINE </w:t>
      </w:r>
      <w:r w:rsidR="00CB2789" w:rsidRPr="00A74EC3">
        <w:rPr>
          <w:lang w:val="en-US"/>
        </w:rPr>
        <w:t>:</w:t>
      </w:r>
      <w:proofErr w:type="gramEnd"/>
      <w:r w:rsidR="00CB2789" w:rsidRPr="00A74EC3">
        <w:rPr>
          <w:lang w:val="en-US"/>
        </w:rPr>
        <w:t xml:space="preserve"> MAGAZINES</w:t>
      </w:r>
    </w:p>
    <w:p w14:paraId="296F2A8A" w14:textId="7A081933" w:rsidR="00F66870" w:rsidRPr="00A76666" w:rsidRDefault="00CB2789" w:rsidP="00C1799B">
      <w:pPr>
        <w:pStyle w:val="Notedebasdepage"/>
        <w:ind w:left="142"/>
        <w:rPr>
          <w:color w:val="111111"/>
          <w:shd w:val="clear" w:color="auto" w:fill="FFFFFF"/>
          <w:lang w:val="en-US" w:eastAsia="fr-CA"/>
        </w:rPr>
      </w:pPr>
      <w:r w:rsidRPr="00E576BF">
        <w:rPr>
          <w:rFonts w:eastAsia="Times New Roman"/>
          <w:color w:val="111111"/>
          <w:shd w:val="clear" w:color="auto" w:fill="FFFFFF"/>
          <w:lang w:val="en-US" w:eastAsia="fr-CA"/>
        </w:rPr>
        <w:t xml:space="preserve">« New indigenous court system could set precedents across the country: Editorial », </w:t>
      </w:r>
      <w:r w:rsidRPr="00E576BF">
        <w:rPr>
          <w:rFonts w:eastAsia="Times New Roman"/>
          <w:i/>
          <w:iCs/>
          <w:color w:val="111111"/>
          <w:shd w:val="clear" w:color="auto" w:fill="FFFFFF"/>
          <w:lang w:val="en-US" w:eastAsia="fr-CA"/>
        </w:rPr>
        <w:t>The Star</w:t>
      </w:r>
      <w:r w:rsidRPr="00E576BF">
        <w:rPr>
          <w:rFonts w:eastAsia="Times New Roman"/>
          <w:color w:val="111111"/>
          <w:shd w:val="clear" w:color="auto" w:fill="FFFFFF"/>
          <w:lang w:val="en-US" w:eastAsia="fr-CA"/>
        </w:rPr>
        <w:t xml:space="preserve"> (7 </w:t>
      </w:r>
      <w:proofErr w:type="spellStart"/>
      <w:r w:rsidRPr="00E576BF">
        <w:rPr>
          <w:rFonts w:eastAsia="Times New Roman"/>
          <w:color w:val="111111"/>
          <w:shd w:val="clear" w:color="auto" w:fill="FFFFFF"/>
          <w:lang w:val="en-US" w:eastAsia="fr-CA"/>
        </w:rPr>
        <w:t>octobre</w:t>
      </w:r>
      <w:proofErr w:type="spellEnd"/>
      <w:r w:rsidRPr="00E576BF">
        <w:rPr>
          <w:rFonts w:eastAsia="Times New Roman"/>
          <w:color w:val="111111"/>
          <w:shd w:val="clear" w:color="auto" w:fill="FFFFFF"/>
          <w:lang w:val="en-US" w:eastAsia="fr-CA"/>
        </w:rPr>
        <w:t xml:space="preserve"> 2016), </w:t>
      </w:r>
      <w:proofErr w:type="spellStart"/>
      <w:r w:rsidRPr="00E576BF">
        <w:rPr>
          <w:rFonts w:eastAsia="Times New Roman"/>
          <w:color w:val="111111"/>
          <w:shd w:val="clear" w:color="auto" w:fill="FFFFFF"/>
          <w:lang w:val="en-US" w:eastAsia="fr-CA"/>
        </w:rPr>
        <w:t>en</w:t>
      </w:r>
      <w:proofErr w:type="spellEnd"/>
      <w:r w:rsidRPr="00E576BF">
        <w:rPr>
          <w:rFonts w:eastAsia="Times New Roman"/>
          <w:color w:val="111111"/>
          <w:shd w:val="clear" w:color="auto" w:fill="FFFFFF"/>
          <w:lang w:val="en-US" w:eastAsia="fr-CA"/>
        </w:rPr>
        <w:t xml:space="preserve"> </w:t>
      </w:r>
      <w:proofErr w:type="spellStart"/>
      <w:proofErr w:type="gramStart"/>
      <w:r w:rsidRPr="00E576BF">
        <w:rPr>
          <w:rFonts w:eastAsia="Times New Roman"/>
          <w:color w:val="111111"/>
          <w:shd w:val="clear" w:color="auto" w:fill="FFFFFF"/>
          <w:lang w:val="en-US" w:eastAsia="fr-CA"/>
        </w:rPr>
        <w:t>ligne</w:t>
      </w:r>
      <w:proofErr w:type="spellEnd"/>
      <w:r w:rsidRPr="00E576BF">
        <w:rPr>
          <w:rFonts w:eastAsia="Times New Roman"/>
          <w:color w:val="111111"/>
          <w:shd w:val="clear" w:color="auto" w:fill="FFFFFF"/>
          <w:lang w:val="en-US" w:eastAsia="fr-CA"/>
        </w:rPr>
        <w:t xml:space="preserve"> :</w:t>
      </w:r>
      <w:proofErr w:type="gramEnd"/>
      <w:r w:rsidRPr="00E576BF">
        <w:rPr>
          <w:rFonts w:eastAsia="Times New Roman"/>
          <w:color w:val="111111"/>
          <w:shd w:val="clear" w:color="auto" w:fill="FFFFFF"/>
          <w:lang w:val="en-US" w:eastAsia="fr-CA"/>
        </w:rPr>
        <w:t xml:space="preserve"> &lt;thestar.com/opinion/editorials/2016/10/07/new-indigenous-court-system-could-set-precedents-across-the-country-editorial.html&gt; [</w:t>
      </w:r>
      <w:r w:rsidRPr="00E576BF">
        <w:rPr>
          <w:rFonts w:eastAsia="Times New Roman"/>
          <w:i/>
          <w:color w:val="111111"/>
          <w:shd w:val="clear" w:color="auto" w:fill="FFFFFF"/>
          <w:lang w:val="en-US" w:eastAsia="fr-CA"/>
        </w:rPr>
        <w:t>Editorial</w:t>
      </w:r>
      <w:r w:rsidRPr="00E576BF">
        <w:rPr>
          <w:rFonts w:eastAsia="Times New Roman"/>
          <w:color w:val="111111"/>
          <w:shd w:val="clear" w:color="auto" w:fill="FFFFFF"/>
          <w:lang w:val="en-US" w:eastAsia="fr-CA"/>
        </w:rPr>
        <w:t xml:space="preserve">]. </w:t>
      </w:r>
    </w:p>
    <w:p w14:paraId="3F49547E" w14:textId="6787E376" w:rsidR="00E576BF" w:rsidRDefault="00CB2789" w:rsidP="000145C7">
      <w:pPr>
        <w:ind w:left="142"/>
        <w:rPr>
          <w:color w:val="111111"/>
          <w:shd w:val="clear" w:color="auto" w:fill="FFFFFF"/>
          <w:lang w:eastAsia="fr-CA"/>
        </w:rPr>
      </w:pPr>
      <w:proofErr w:type="spellStart"/>
      <w:r w:rsidRPr="002E28D4">
        <w:rPr>
          <w:color w:val="111111"/>
          <w:shd w:val="clear" w:color="auto" w:fill="FFFFFF"/>
          <w:lang w:eastAsia="fr-CA"/>
        </w:rPr>
        <w:t>Valiante</w:t>
      </w:r>
      <w:proofErr w:type="spellEnd"/>
      <w:r w:rsidRPr="002E28D4">
        <w:rPr>
          <w:color w:val="111111"/>
          <w:shd w:val="clear" w:color="auto" w:fill="FFFFFF"/>
          <w:lang w:eastAsia="fr-CA"/>
        </w:rPr>
        <w:t xml:space="preserve">, Giuseppe, « Un premier tribunal autochtone au Canada », </w:t>
      </w:r>
      <w:r w:rsidRPr="002E28D4">
        <w:rPr>
          <w:i/>
          <w:iCs/>
          <w:color w:val="111111"/>
          <w:shd w:val="clear" w:color="auto" w:fill="FFFFFF"/>
          <w:lang w:eastAsia="fr-CA"/>
        </w:rPr>
        <w:t>Le Devoir</w:t>
      </w:r>
      <w:r w:rsidRPr="002E28D4">
        <w:rPr>
          <w:color w:val="111111"/>
          <w:shd w:val="clear" w:color="auto" w:fill="FFFFFF"/>
          <w:lang w:eastAsia="fr-CA"/>
        </w:rPr>
        <w:t xml:space="preserve"> (3 octobre 2016), en ligne : &lt;ledevoir.com/societe/481355/le-conseil-mohawk-d-akwesasne-cree-le-premier-tribunal-autochtone-au-canada&gt;.</w:t>
      </w:r>
    </w:p>
    <w:p w14:paraId="0AAC5516" w14:textId="3CC3C0BC" w:rsidR="008721CF" w:rsidRPr="008721CF" w:rsidRDefault="008721CF" w:rsidP="000145C7">
      <w:pPr>
        <w:ind w:left="142"/>
        <w:rPr>
          <w:color w:val="111111"/>
          <w:shd w:val="clear" w:color="auto" w:fill="FFFFFF"/>
          <w:lang w:val="en-US" w:eastAsia="fr-CA"/>
        </w:rPr>
      </w:pPr>
      <w:proofErr w:type="gramStart"/>
      <w:r w:rsidRPr="008721CF">
        <w:rPr>
          <w:color w:val="111111"/>
          <w:shd w:val="clear" w:color="auto" w:fill="FFFFFF"/>
          <w:lang w:val="en-US" w:eastAsia="fr-CA"/>
        </w:rPr>
        <w:t>DOCTRINE :</w:t>
      </w:r>
      <w:proofErr w:type="gramEnd"/>
      <w:r w:rsidRPr="008721CF">
        <w:rPr>
          <w:color w:val="111111"/>
          <w:shd w:val="clear" w:color="auto" w:fill="FFFFFF"/>
          <w:lang w:val="en-US" w:eastAsia="fr-CA"/>
        </w:rPr>
        <w:t xml:space="preserve"> MONOGRAPHIE</w:t>
      </w:r>
    </w:p>
    <w:p w14:paraId="31DB150F" w14:textId="06E80594" w:rsidR="008721CF" w:rsidRPr="008721CF" w:rsidRDefault="008721CF" w:rsidP="008721CF">
      <w:pPr>
        <w:ind w:left="142"/>
        <w:rPr>
          <w:lang w:val="en-US"/>
        </w:rPr>
      </w:pPr>
      <w:r w:rsidRPr="000145C7">
        <w:rPr>
          <w:lang w:val="en-US"/>
        </w:rPr>
        <w:t xml:space="preserve">Napoleon, Val et Hadley </w:t>
      </w:r>
      <w:proofErr w:type="spellStart"/>
      <w:r w:rsidRPr="000145C7">
        <w:rPr>
          <w:lang w:val="en-US"/>
        </w:rPr>
        <w:t>Friedland</w:t>
      </w:r>
      <w:proofErr w:type="spellEnd"/>
      <w:r w:rsidRPr="000145C7">
        <w:rPr>
          <w:lang w:val="en-US"/>
        </w:rPr>
        <w:t xml:space="preserve">, « Indigenous Legal Traditions: Roots to Renaissance » </w:t>
      </w:r>
      <w:proofErr w:type="spellStart"/>
      <w:r w:rsidRPr="000145C7">
        <w:rPr>
          <w:lang w:val="en-US"/>
        </w:rPr>
        <w:t>dans</w:t>
      </w:r>
      <w:proofErr w:type="spellEnd"/>
      <w:r w:rsidRPr="000145C7">
        <w:rPr>
          <w:lang w:val="en-US"/>
        </w:rPr>
        <w:t xml:space="preserve"> Markus D </w:t>
      </w:r>
      <w:proofErr w:type="spellStart"/>
      <w:r w:rsidRPr="000145C7">
        <w:rPr>
          <w:lang w:val="en-US"/>
        </w:rPr>
        <w:t>Dubber</w:t>
      </w:r>
      <w:proofErr w:type="spellEnd"/>
      <w:r w:rsidRPr="000145C7">
        <w:rPr>
          <w:lang w:val="en-US"/>
        </w:rPr>
        <w:t xml:space="preserve"> et </w:t>
      </w:r>
      <w:proofErr w:type="spellStart"/>
      <w:r w:rsidRPr="000145C7">
        <w:rPr>
          <w:lang w:val="en-US"/>
        </w:rPr>
        <w:t>Tatjana</w:t>
      </w:r>
      <w:proofErr w:type="spellEnd"/>
      <w:r w:rsidRPr="000145C7">
        <w:rPr>
          <w:lang w:val="en-US"/>
        </w:rPr>
        <w:t xml:space="preserve"> </w:t>
      </w:r>
      <w:proofErr w:type="spellStart"/>
      <w:r w:rsidRPr="000145C7">
        <w:rPr>
          <w:lang w:val="en-US"/>
        </w:rPr>
        <w:t>Hörnle</w:t>
      </w:r>
      <w:proofErr w:type="spellEnd"/>
      <w:r w:rsidRPr="000145C7">
        <w:rPr>
          <w:lang w:val="en-US"/>
        </w:rPr>
        <w:t xml:space="preserve">, </w:t>
      </w:r>
      <w:proofErr w:type="spellStart"/>
      <w:r w:rsidRPr="000145C7">
        <w:rPr>
          <w:lang w:val="en-US"/>
        </w:rPr>
        <w:t>éds</w:t>
      </w:r>
      <w:proofErr w:type="spellEnd"/>
      <w:r w:rsidRPr="000145C7">
        <w:rPr>
          <w:lang w:val="en-US"/>
        </w:rPr>
        <w:t xml:space="preserve">, </w:t>
      </w:r>
      <w:r w:rsidRPr="000145C7">
        <w:rPr>
          <w:i/>
          <w:lang w:val="en-US"/>
        </w:rPr>
        <w:t>The Oxford Handbook of Criminal Law</w:t>
      </w:r>
      <w:r w:rsidRPr="000145C7">
        <w:rPr>
          <w:lang w:val="en-US"/>
        </w:rPr>
        <w:t>, Oxford, Oxford University Press, 2014, 225.</w:t>
      </w:r>
    </w:p>
    <w:p w14:paraId="39E32563" w14:textId="3BB6E6C2" w:rsidR="00746279" w:rsidRPr="000145C7" w:rsidRDefault="00E576BF" w:rsidP="000145C7">
      <w:pPr>
        <w:pStyle w:val="Notedebasdepage"/>
        <w:ind w:left="142"/>
        <w:rPr>
          <w:lang w:val="en-US"/>
        </w:rPr>
      </w:pPr>
      <w:proofErr w:type="gramStart"/>
      <w:r w:rsidRPr="00E576BF">
        <w:rPr>
          <w:lang w:val="en-US"/>
        </w:rPr>
        <w:t>DOCTRINE</w:t>
      </w:r>
      <w:r w:rsidR="00DF3564">
        <w:rPr>
          <w:lang w:val="en-US"/>
        </w:rPr>
        <w:t xml:space="preserve"> </w:t>
      </w:r>
      <w:r w:rsidR="008721CF">
        <w:rPr>
          <w:lang w:val="en-US"/>
        </w:rPr>
        <w:t>:</w:t>
      </w:r>
      <w:proofErr w:type="gramEnd"/>
      <w:r w:rsidR="008721CF">
        <w:rPr>
          <w:lang w:val="en-US"/>
        </w:rPr>
        <w:t xml:space="preserve"> RECUEIL ENCYCLOPÉDIQUE</w:t>
      </w:r>
      <w:r w:rsidRPr="00E576BF">
        <w:rPr>
          <w:lang w:val="en-US"/>
        </w:rPr>
        <w:t xml:space="preserve"> </w:t>
      </w:r>
    </w:p>
    <w:p w14:paraId="7B3B2AA1" w14:textId="07FB94D0" w:rsidR="00E576BF" w:rsidRPr="00746279" w:rsidRDefault="00E576BF" w:rsidP="000145C7">
      <w:pPr>
        <w:pStyle w:val="Notedebasdepage"/>
        <w:ind w:left="142"/>
        <w:rPr>
          <w:lang w:val="en-US"/>
        </w:rPr>
      </w:pPr>
      <w:r w:rsidRPr="00E576BF">
        <w:rPr>
          <w:lang w:val="en-US"/>
        </w:rPr>
        <w:t>Halsbury’s Laws of Canada (</w:t>
      </w:r>
      <w:proofErr w:type="spellStart"/>
      <w:r w:rsidRPr="00E576BF">
        <w:rPr>
          <w:lang w:val="en-US"/>
        </w:rPr>
        <w:t>en</w:t>
      </w:r>
      <w:proofErr w:type="spellEnd"/>
      <w:r w:rsidRPr="00E576BF">
        <w:rPr>
          <w:lang w:val="en-US"/>
        </w:rPr>
        <w:t xml:space="preserve"> </w:t>
      </w:r>
      <w:proofErr w:type="spellStart"/>
      <w:r w:rsidRPr="00E576BF">
        <w:rPr>
          <w:lang w:val="en-US"/>
        </w:rPr>
        <w:t>ligne</w:t>
      </w:r>
      <w:proofErr w:type="spellEnd"/>
      <w:r w:rsidRPr="00E576BF">
        <w:rPr>
          <w:lang w:val="en-US"/>
        </w:rPr>
        <w:t>),</w:t>
      </w:r>
      <w:r w:rsidRPr="00E576BF">
        <w:rPr>
          <w:i/>
          <w:iCs/>
          <w:lang w:val="en-US"/>
        </w:rPr>
        <w:t xml:space="preserve"> Settlement of International Disputes, </w:t>
      </w:r>
      <w:r w:rsidRPr="00E576BF">
        <w:rPr>
          <w:lang w:val="en-US"/>
        </w:rPr>
        <w:t>“The International: Organization and Proceedings Before the Court” (IX.</w:t>
      </w:r>
      <w:proofErr w:type="gramStart"/>
      <w:r w:rsidRPr="00E576BF">
        <w:rPr>
          <w:lang w:val="en-US"/>
        </w:rPr>
        <w:t>4.(</w:t>
      </w:r>
      <w:proofErr w:type="gramEnd"/>
      <w:r w:rsidRPr="00E576BF">
        <w:rPr>
          <w:lang w:val="en-US"/>
        </w:rPr>
        <w:t xml:space="preserve">2)) </w:t>
      </w:r>
      <w:proofErr w:type="spellStart"/>
      <w:r w:rsidRPr="00E576BF">
        <w:rPr>
          <w:lang w:val="en-US"/>
        </w:rPr>
        <w:t>dans</w:t>
      </w:r>
      <w:proofErr w:type="spellEnd"/>
      <w:r w:rsidRPr="00E576BF">
        <w:rPr>
          <w:lang w:val="en-US"/>
        </w:rPr>
        <w:t xml:space="preserve"> HPI-117 “Public International Law” (2014 Reissue). </w:t>
      </w:r>
    </w:p>
    <w:p w14:paraId="72A87036" w14:textId="344CF90F" w:rsidR="00746279" w:rsidRPr="008721CF" w:rsidRDefault="00AB3860" w:rsidP="000145C7">
      <w:pPr>
        <w:pStyle w:val="Notedebasdepage"/>
        <w:ind w:left="142"/>
      </w:pPr>
      <w:r w:rsidRPr="008721CF">
        <w:t>DOCTRINE</w:t>
      </w:r>
      <w:r w:rsidR="00E576BF" w:rsidRPr="008721CF">
        <w:t xml:space="preserve"> </w:t>
      </w:r>
      <w:r w:rsidRPr="008721CF">
        <w:t xml:space="preserve">: </w:t>
      </w:r>
      <w:r w:rsidR="00CB2789" w:rsidRPr="008721CF">
        <w:t>REVUES DE DROIT</w:t>
      </w:r>
    </w:p>
    <w:p w14:paraId="337BEC3B" w14:textId="404DFECE" w:rsidR="00AB3860" w:rsidRPr="00A76666" w:rsidRDefault="00AB3860" w:rsidP="00C1799B">
      <w:pPr>
        <w:pStyle w:val="Notedebasdepage"/>
        <w:ind w:left="142"/>
      </w:pPr>
      <w:r w:rsidRPr="00E576BF">
        <w:t xml:space="preserve">Oraison, André, « Réflexions sur l’Institution du Juge Ad Hoc Siégeant au Tribunal au Palais de la Paix en Séance Plénière ou en Chambre Ad Hoc » (1998) 31 R Belge Dr </w:t>
      </w:r>
      <w:proofErr w:type="spellStart"/>
      <w:r w:rsidRPr="00E576BF">
        <w:t>Intl</w:t>
      </w:r>
      <w:proofErr w:type="spellEnd"/>
      <w:r w:rsidRPr="00E576BF">
        <w:t xml:space="preserve"> 272. </w:t>
      </w:r>
    </w:p>
    <w:p w14:paraId="0A8954DF" w14:textId="6AA22AEA" w:rsidR="00AB3860" w:rsidRPr="004F4F17" w:rsidRDefault="00AB3860" w:rsidP="000145C7">
      <w:pPr>
        <w:ind w:left="142"/>
      </w:pPr>
      <w:proofErr w:type="spellStart"/>
      <w:r w:rsidRPr="004F4F17">
        <w:t>Valticos</w:t>
      </w:r>
      <w:proofErr w:type="spellEnd"/>
      <w:r w:rsidRPr="004F4F17">
        <w:t>, Nicolas</w:t>
      </w:r>
      <w:r w:rsidR="008721CF">
        <w:t>, « L’É</w:t>
      </w:r>
      <w:r w:rsidRPr="004F4F17">
        <w:t xml:space="preserve">volution de la Notion de Juge ad Hoc » (1997) 50 R </w:t>
      </w:r>
      <w:proofErr w:type="spellStart"/>
      <w:r w:rsidRPr="004F4F17">
        <w:t>Hellenique</w:t>
      </w:r>
      <w:proofErr w:type="spellEnd"/>
      <w:r w:rsidRPr="004F4F17">
        <w:t xml:space="preserve"> Dr </w:t>
      </w:r>
      <w:proofErr w:type="spellStart"/>
      <w:r w:rsidRPr="004F4F17">
        <w:t>Intl</w:t>
      </w:r>
      <w:proofErr w:type="spellEnd"/>
      <w:r w:rsidRPr="004F4F17">
        <w:t xml:space="preserve"> 1. </w:t>
      </w:r>
    </w:p>
    <w:p w14:paraId="6D68113A" w14:textId="693382F8" w:rsidR="00E576BF" w:rsidRPr="00E576BF" w:rsidRDefault="00E576BF" w:rsidP="000145C7">
      <w:pPr>
        <w:pStyle w:val="Notedebasdepage"/>
        <w:ind w:left="142"/>
        <w:rPr>
          <w:lang w:val="fr-CA"/>
        </w:rPr>
      </w:pPr>
      <w:r w:rsidRPr="00E576BF">
        <w:rPr>
          <w:lang w:val="fr-CA"/>
        </w:rPr>
        <w:t>DO</w:t>
      </w:r>
      <w:r w:rsidR="00AB3860" w:rsidRPr="00E576BF">
        <w:rPr>
          <w:lang w:val="fr-CA"/>
        </w:rPr>
        <w:t>CUMENTS INTERNATIONAUX</w:t>
      </w:r>
    </w:p>
    <w:p w14:paraId="2642BD12" w14:textId="77777777" w:rsidR="00AB3860" w:rsidRPr="002E28D4" w:rsidRDefault="00AB3860" w:rsidP="00C1799B">
      <w:pPr>
        <w:ind w:left="142"/>
        <w:rPr>
          <w:lang w:val="fr-CA"/>
        </w:rPr>
      </w:pPr>
      <w:r w:rsidRPr="002E28D4">
        <w:rPr>
          <w:i/>
        </w:rPr>
        <w:t>Charte des Nations Unies ; Statut de la Cour internationale de justice</w:t>
      </w:r>
      <w:r w:rsidRPr="004F4F17">
        <w:t xml:space="preserve">, 18 avril 1946, 33 UNTS 993. </w:t>
      </w:r>
    </w:p>
    <w:p w14:paraId="3A813F8D" w14:textId="09A5AF91" w:rsidR="00E576BF" w:rsidRPr="00E576BF" w:rsidRDefault="000145C7" w:rsidP="000145C7">
      <w:pPr>
        <w:rPr>
          <w:color w:val="000000"/>
          <w:shd w:val="clear" w:color="auto" w:fill="FFFFFF"/>
          <w:lang w:val="fr-CA"/>
        </w:rPr>
      </w:pPr>
      <w:r>
        <w:rPr>
          <w:color w:val="000000"/>
          <w:shd w:val="clear" w:color="auto" w:fill="FFFFFF"/>
        </w:rPr>
        <w:t xml:space="preserve">  </w:t>
      </w:r>
      <w:r w:rsidR="00AB3860" w:rsidRPr="002E28D4">
        <w:rPr>
          <w:color w:val="000000"/>
          <w:shd w:val="clear" w:color="auto" w:fill="FFFFFF"/>
          <w:lang w:val="fr-CA"/>
        </w:rPr>
        <w:t>SITES INTERNET</w:t>
      </w:r>
    </w:p>
    <w:p w14:paraId="33F14761" w14:textId="79874D71" w:rsidR="00746279" w:rsidRPr="004F4F17" w:rsidRDefault="00F66870" w:rsidP="00C1799B">
      <w:pPr>
        <w:ind w:left="142"/>
      </w:pPr>
      <w:r w:rsidRPr="004F4F17">
        <w:lastRenderedPageBreak/>
        <w:t xml:space="preserve">« À propos de la Cour : Composition » (dernière consultation le 6 février 2019), en ligne : </w:t>
      </w:r>
      <w:r w:rsidRPr="00257C1F">
        <w:rPr>
          <w:i/>
        </w:rPr>
        <w:t>Cour d’appel du Québec</w:t>
      </w:r>
      <w:r w:rsidRPr="004F4F17">
        <w:t xml:space="preserve"> &lt;courdappelduquebec.ca/a-propos-de-la-cour/composition/&gt;.</w:t>
      </w:r>
    </w:p>
    <w:p w14:paraId="5A9D8839" w14:textId="2771BB85" w:rsidR="009F0ECD" w:rsidRPr="00A76666" w:rsidRDefault="00746279" w:rsidP="00C1799B">
      <w:pPr>
        <w:pStyle w:val="Notedebasdepage"/>
        <w:ind w:left="142"/>
      </w:pPr>
      <w:r w:rsidRPr="00E576BF">
        <w:t xml:space="preserve">Gall, Gerald L, « Magistrature du Canada » (dernière modification le 24 février 2017), en ligne : </w:t>
      </w:r>
      <w:r w:rsidRPr="00E576BF">
        <w:rPr>
          <w:i/>
        </w:rPr>
        <w:t>L’Encyclopédie canadienne</w:t>
      </w:r>
      <w:r w:rsidRPr="00E576BF">
        <w:t xml:space="preserve"> &lt;thecanadianencyclopedia.ca/</w:t>
      </w:r>
      <w:proofErr w:type="spellStart"/>
      <w:r w:rsidRPr="00E576BF">
        <w:t>fr</w:t>
      </w:r>
      <w:proofErr w:type="spellEnd"/>
      <w:r w:rsidRPr="00E576BF">
        <w:t>/article/magistrature&gt;.</w:t>
      </w:r>
    </w:p>
    <w:p w14:paraId="714C8F6C" w14:textId="12DBF446" w:rsidR="00746279" w:rsidRPr="004F4F17" w:rsidRDefault="00F66870" w:rsidP="00C1799B">
      <w:pPr>
        <w:ind w:left="142"/>
      </w:pPr>
      <w:r w:rsidRPr="004F4F17">
        <w:t xml:space="preserve">« Infractions criminelles » (dernière modification le 24 juillet 2015), en ligne : </w:t>
      </w:r>
      <w:r w:rsidRPr="00257C1F">
        <w:rPr>
          <w:i/>
        </w:rPr>
        <w:t>Ministère de la Justice</w:t>
      </w:r>
      <w:r w:rsidRPr="004F4F17">
        <w:t xml:space="preserve"> &lt;justice.gc.ca/fra/jp-cj/victimes-victims/tribunaux-court/infractions-offences.html&gt;.</w:t>
      </w:r>
    </w:p>
    <w:p w14:paraId="33FC6A43" w14:textId="4DEC4120" w:rsidR="00746279" w:rsidRPr="002E28D4" w:rsidRDefault="00746279" w:rsidP="00C1799B">
      <w:pPr>
        <w:ind w:left="142"/>
        <w:rPr>
          <w:color w:val="000000" w:themeColor="text1"/>
        </w:rPr>
      </w:pPr>
      <w:r w:rsidRPr="002E28D4">
        <w:rPr>
          <w:color w:val="000000" w:themeColor="text1"/>
        </w:rPr>
        <w:t xml:space="preserve">« Justice » (dernière consultation le 7 février 2019), en ligne : </w:t>
      </w:r>
      <w:r w:rsidRPr="002E28D4">
        <w:rPr>
          <w:i/>
          <w:color w:val="000000" w:themeColor="text1"/>
        </w:rPr>
        <w:t xml:space="preserve">Mohawk Council of </w:t>
      </w:r>
      <w:proofErr w:type="spellStart"/>
      <w:r w:rsidRPr="002E28D4">
        <w:rPr>
          <w:i/>
          <w:color w:val="000000" w:themeColor="text1"/>
        </w:rPr>
        <w:t>Akwesasne</w:t>
      </w:r>
      <w:proofErr w:type="spellEnd"/>
      <w:r w:rsidRPr="002E28D4">
        <w:rPr>
          <w:color w:val="000000" w:themeColor="text1"/>
        </w:rPr>
        <w:t xml:space="preserve"> &lt;akwesasne.ca/justice/&gt;.</w:t>
      </w:r>
    </w:p>
    <w:p w14:paraId="4A075214" w14:textId="12CD43ED" w:rsidR="00746279" w:rsidRPr="004F4F17" w:rsidRDefault="00746279" w:rsidP="00C1799B">
      <w:pPr>
        <w:ind w:left="142"/>
      </w:pPr>
      <w:r w:rsidRPr="004F4F17">
        <w:t xml:space="preserve">« Nouveaux juges à la Cour du Québec » (dernière consultation le 8 février 2019), en ligne : </w:t>
      </w:r>
      <w:r w:rsidRPr="002E28D4">
        <w:rPr>
          <w:i/>
        </w:rPr>
        <w:t>Cour du Québec</w:t>
      </w:r>
      <w:r w:rsidRPr="004F4F17">
        <w:t xml:space="preserve"> &lt;tribunaux.qc.ca/c-quebec/NominationsAppelsCandidatures/fs_nouveaux_juges_CQ.html&gt;.</w:t>
      </w:r>
    </w:p>
    <w:p w14:paraId="687FE7BE" w14:textId="1D0D51E5" w:rsidR="009F0ECD" w:rsidRPr="004F4F17" w:rsidRDefault="00746279" w:rsidP="00C1799B">
      <w:pPr>
        <w:ind w:left="142"/>
      </w:pPr>
      <w:proofErr w:type="spellStart"/>
      <w:r w:rsidRPr="004F4F17">
        <w:t>Parrott</w:t>
      </w:r>
      <w:proofErr w:type="spellEnd"/>
      <w:r w:rsidRPr="004F4F17">
        <w:t xml:space="preserve">, </w:t>
      </w:r>
      <w:proofErr w:type="spellStart"/>
      <w:r w:rsidRPr="004F4F17">
        <w:t>Zach</w:t>
      </w:r>
      <w:proofErr w:type="spellEnd"/>
      <w:r w:rsidRPr="004F4F17">
        <w:t xml:space="preserve">, « Affaire </w:t>
      </w:r>
      <w:proofErr w:type="spellStart"/>
      <w:r w:rsidRPr="004F4F17">
        <w:t>Gladue</w:t>
      </w:r>
      <w:proofErr w:type="spellEnd"/>
      <w:r w:rsidRPr="004F4F17">
        <w:t xml:space="preserve"> » (dernière modification le 19 septembre 2017), en ligne : </w:t>
      </w:r>
      <w:r w:rsidRPr="002E28D4">
        <w:rPr>
          <w:i/>
        </w:rPr>
        <w:t>L’Encyclopédie canadienne</w:t>
      </w:r>
      <w:r w:rsidRPr="004F4F17">
        <w:t xml:space="preserve"> &lt;thecanadianencyclopedia.ca/</w:t>
      </w:r>
      <w:proofErr w:type="spellStart"/>
      <w:r w:rsidRPr="004F4F17">
        <w:t>fr</w:t>
      </w:r>
      <w:proofErr w:type="spellEnd"/>
      <w:r w:rsidRPr="004F4F17">
        <w:t>/article/r-c-</w:t>
      </w:r>
      <w:proofErr w:type="spellStart"/>
      <w:r w:rsidRPr="004F4F17">
        <w:t>gladue</w:t>
      </w:r>
      <w:proofErr w:type="spellEnd"/>
      <w:r w:rsidRPr="004F4F17">
        <w:t>&gt;</w:t>
      </w:r>
      <w:r w:rsidR="00A76666" w:rsidRPr="004F4F17">
        <w:t>.</w:t>
      </w:r>
    </w:p>
    <w:p w14:paraId="5F979A9E" w14:textId="5CA3179B" w:rsidR="00F66870" w:rsidRPr="00A76666" w:rsidRDefault="00CB2789" w:rsidP="00C1799B">
      <w:pPr>
        <w:pStyle w:val="Notedebasdepage"/>
        <w:ind w:left="142"/>
        <w:rPr>
          <w:color w:val="111111"/>
          <w:shd w:val="clear" w:color="auto" w:fill="FFFFFF"/>
          <w:lang w:eastAsia="fr-CA"/>
        </w:rPr>
      </w:pPr>
      <w:r w:rsidRPr="00E576BF">
        <w:rPr>
          <w:rFonts w:eastAsia="Times New Roman"/>
          <w:color w:val="111111"/>
          <w:shd w:val="clear" w:color="auto" w:fill="FFFFFF"/>
          <w:lang w:eastAsia="fr-CA"/>
        </w:rPr>
        <w:t xml:space="preserve">« Profil des nations » (dernière modification le 13 juin 2013), en ligne : </w:t>
      </w:r>
      <w:r w:rsidRPr="00E576BF">
        <w:rPr>
          <w:rFonts w:eastAsia="Times New Roman"/>
          <w:i/>
          <w:iCs/>
          <w:color w:val="111111"/>
          <w:shd w:val="clear" w:color="auto" w:fill="FFFFFF"/>
          <w:lang w:eastAsia="fr-CA"/>
        </w:rPr>
        <w:t xml:space="preserve">Secrétariat aux affaires autochtones </w:t>
      </w:r>
      <w:r w:rsidRPr="00E576BF">
        <w:rPr>
          <w:rFonts w:eastAsia="Times New Roman"/>
          <w:color w:val="111111"/>
          <w:shd w:val="clear" w:color="auto" w:fill="FFFFFF"/>
          <w:lang w:eastAsia="fr-CA"/>
        </w:rPr>
        <w:t>&lt;autochtones.gouv.qc.ca/relations_autochtones/profils_nations/profil.htm &gt;.</w:t>
      </w:r>
    </w:p>
    <w:p w14:paraId="55841CAA" w14:textId="11755521" w:rsidR="00CB2789" w:rsidRPr="00A76666" w:rsidRDefault="00F66870" w:rsidP="00C1799B">
      <w:pPr>
        <w:pStyle w:val="Notedebasdepage"/>
        <w:ind w:left="142"/>
        <w:rPr>
          <w:lang w:eastAsia="en-US"/>
        </w:rPr>
      </w:pPr>
      <w:r w:rsidRPr="00E576BF">
        <w:t xml:space="preserve">« Qualifications et critères d’évaluation » (dernière modification le 14 juillet 2017), en ligne : </w:t>
      </w:r>
      <w:r w:rsidRPr="001D0AD7">
        <w:rPr>
          <w:i/>
        </w:rPr>
        <w:t>Commissariat à la magistrature fédérale Canada</w:t>
      </w:r>
      <w:r w:rsidRPr="00E576BF">
        <w:t xml:space="preserve"> &lt;fja-cmf.gc.ca/</w:t>
      </w:r>
      <w:proofErr w:type="spellStart"/>
      <w:r w:rsidRPr="00E576BF">
        <w:t>scc-csc</w:t>
      </w:r>
      <w:proofErr w:type="spellEnd"/>
      <w:r w:rsidRPr="00E576BF">
        <w:t>/qualifications-fra.html&gt;.</w:t>
      </w:r>
    </w:p>
    <w:p w14:paraId="4F785697" w14:textId="77777777" w:rsidR="00F66870" w:rsidRPr="004F4F17" w:rsidRDefault="00F66870" w:rsidP="00C1799B">
      <w:pPr>
        <w:ind w:left="142"/>
      </w:pPr>
      <w:r w:rsidRPr="004F4F17">
        <w:t xml:space="preserve">« Série ‘Perspective géographique’, Recensement de 2016 » (dernière modification le 29 avril 2017), en ligne : </w:t>
      </w:r>
      <w:r w:rsidRPr="001D0AD7">
        <w:rPr>
          <w:i/>
        </w:rPr>
        <w:t>Statistiques Canada</w:t>
      </w:r>
      <w:r w:rsidRPr="004F4F17">
        <w:t xml:space="preserve"> &lt;</w:t>
      </w:r>
      <w:proofErr w:type="gramStart"/>
      <w:r w:rsidRPr="004F4F17">
        <w:t>statcan.gc.ca/census-recensement/2016/as-sa/fogs-spg/Facts-pr-fra.cfm?LANG</w:t>
      </w:r>
      <w:proofErr w:type="gramEnd"/>
      <w:r w:rsidRPr="004F4F17">
        <w:t>=Fra&amp;GK=PR&amp;GC=24&amp;TOPIC=9&gt;.</w:t>
      </w:r>
    </w:p>
    <w:p w14:paraId="60FFC6BE" w14:textId="77777777" w:rsidR="00F66870" w:rsidRPr="00E576BF" w:rsidRDefault="00F66870" w:rsidP="002E28D4">
      <w:pPr>
        <w:pStyle w:val="Notedebasdepage"/>
        <w:rPr>
          <w:color w:val="111111"/>
          <w:shd w:val="clear" w:color="auto" w:fill="FFFFFF"/>
          <w:lang w:eastAsia="fr-CA"/>
        </w:rPr>
      </w:pPr>
    </w:p>
    <w:p w14:paraId="23F28AE0" w14:textId="77777777" w:rsidR="00E576BF" w:rsidRPr="00E576BF" w:rsidRDefault="00E576BF" w:rsidP="002E28D4">
      <w:pPr>
        <w:rPr>
          <w:color w:val="111111"/>
          <w:shd w:val="clear" w:color="auto" w:fill="FFFFFF"/>
          <w:lang w:eastAsia="fr-CA"/>
        </w:rPr>
      </w:pPr>
    </w:p>
    <w:sectPr w:rsidR="00E576BF" w:rsidRPr="00E576BF" w:rsidSect="00F4655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C875" w14:textId="77777777" w:rsidR="004B3072" w:rsidRDefault="004B3072" w:rsidP="00E143DE">
      <w:r>
        <w:separator/>
      </w:r>
    </w:p>
  </w:endnote>
  <w:endnote w:type="continuationSeparator" w:id="0">
    <w:p w14:paraId="0326F781" w14:textId="77777777" w:rsidR="004B3072" w:rsidRDefault="004B3072" w:rsidP="00E1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ebkit-standard">
    <w:altName w:val="Cambria"/>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602D" w14:textId="77777777" w:rsidR="00C24FA6" w:rsidRDefault="00C24FA6" w:rsidP="006646B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0A19E6" w14:textId="77777777" w:rsidR="00C24FA6" w:rsidRDefault="00C24FA6" w:rsidP="00C24FA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22BF" w14:textId="77777777" w:rsidR="00C24FA6" w:rsidRDefault="00C24FA6" w:rsidP="006646B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D353E">
      <w:rPr>
        <w:rStyle w:val="Numrodepage"/>
        <w:noProof/>
      </w:rPr>
      <w:t>9</w:t>
    </w:r>
    <w:r>
      <w:rPr>
        <w:rStyle w:val="Numrodepage"/>
      </w:rPr>
      <w:fldChar w:fldCharType="end"/>
    </w:r>
  </w:p>
  <w:p w14:paraId="51542E40" w14:textId="77777777" w:rsidR="00C24FA6" w:rsidRDefault="00C24FA6" w:rsidP="00C24FA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1081C" w14:textId="77777777" w:rsidR="004B3072" w:rsidRDefault="004B3072" w:rsidP="00E143DE">
      <w:r>
        <w:separator/>
      </w:r>
    </w:p>
  </w:footnote>
  <w:footnote w:type="continuationSeparator" w:id="0">
    <w:p w14:paraId="783CB3F0" w14:textId="77777777" w:rsidR="004B3072" w:rsidRDefault="004B3072" w:rsidP="00E143DE">
      <w:r>
        <w:continuationSeparator/>
      </w:r>
    </w:p>
  </w:footnote>
  <w:footnote w:id="1">
    <w:p w14:paraId="0F80966A" w14:textId="4C8F44E4" w:rsidR="00CB2789" w:rsidRPr="003C6160" w:rsidRDefault="00CB2789" w:rsidP="003C6160">
      <w:pPr>
        <w:pStyle w:val="Notedebasdepage"/>
        <w:ind w:left="142" w:hanging="142"/>
        <w:rPr>
          <w:sz w:val="20"/>
        </w:rPr>
      </w:pPr>
      <w:r w:rsidRPr="003C6160">
        <w:rPr>
          <w:rStyle w:val="Appelnotedebasdep"/>
          <w:sz w:val="20"/>
        </w:rPr>
        <w:footnoteRef/>
      </w:r>
      <w:r w:rsidRPr="003C6160">
        <w:rPr>
          <w:sz w:val="20"/>
        </w:rPr>
        <w:t xml:space="preserve"> Voir </w:t>
      </w:r>
      <w:r w:rsidRPr="003C6160">
        <w:rPr>
          <w:rFonts w:eastAsia="Times New Roman"/>
          <w:i/>
          <w:color w:val="1D2129"/>
          <w:sz w:val="20"/>
        </w:rPr>
        <w:t>Proclamation</w:t>
      </w:r>
      <w:r w:rsidR="000145C7">
        <w:rPr>
          <w:rFonts w:eastAsia="Times New Roman"/>
          <w:i/>
          <w:color w:val="1D2129"/>
          <w:sz w:val="20"/>
        </w:rPr>
        <w:t xml:space="preserve"> royale</w:t>
      </w:r>
      <w:r w:rsidRPr="003C6160">
        <w:rPr>
          <w:rFonts w:eastAsia="Times New Roman"/>
          <w:i/>
          <w:color w:val="1D2129"/>
          <w:sz w:val="20"/>
        </w:rPr>
        <w:t>, 1763</w:t>
      </w:r>
      <w:r w:rsidRPr="003C6160">
        <w:rPr>
          <w:rFonts w:eastAsia="Times New Roman"/>
          <w:color w:val="1D2129"/>
          <w:sz w:val="20"/>
        </w:rPr>
        <w:t xml:space="preserve">, RSC, 1985, App II, No 1. Voir par ex </w:t>
      </w:r>
      <w:r w:rsidRPr="003C6160">
        <w:rPr>
          <w:i/>
          <w:sz w:val="20"/>
        </w:rPr>
        <w:t>Traité N</w:t>
      </w:r>
      <w:r w:rsidRPr="003C6160">
        <w:rPr>
          <w:i/>
          <w:sz w:val="20"/>
          <w:vertAlign w:val="superscript"/>
        </w:rPr>
        <w:t>o</w:t>
      </w:r>
      <w:r w:rsidRPr="003C6160">
        <w:rPr>
          <w:i/>
          <w:sz w:val="20"/>
        </w:rPr>
        <w:t xml:space="preserve"> 7 et de son supplément entre Sa Majesté la Reine et les </w:t>
      </w:r>
      <w:proofErr w:type="spellStart"/>
      <w:r w:rsidRPr="003C6160">
        <w:rPr>
          <w:i/>
          <w:sz w:val="20"/>
        </w:rPr>
        <w:t>Pieds-Noirs</w:t>
      </w:r>
      <w:proofErr w:type="spellEnd"/>
      <w:r w:rsidRPr="003C6160">
        <w:rPr>
          <w:i/>
          <w:sz w:val="20"/>
        </w:rPr>
        <w:t xml:space="preserve"> et d'autres tribus indiennes, à Blackfoot </w:t>
      </w:r>
      <w:proofErr w:type="spellStart"/>
      <w:r w:rsidRPr="003C6160">
        <w:rPr>
          <w:i/>
          <w:sz w:val="20"/>
        </w:rPr>
        <w:t>Crossing</w:t>
      </w:r>
      <w:proofErr w:type="spellEnd"/>
      <w:r w:rsidRPr="003C6160">
        <w:rPr>
          <w:i/>
          <w:sz w:val="20"/>
        </w:rPr>
        <w:t>, sur la rivière Bow, et à Fort Macleod</w:t>
      </w:r>
      <w:r w:rsidRPr="003C6160">
        <w:rPr>
          <w:sz w:val="20"/>
        </w:rPr>
        <w:t xml:space="preserve">, 4 décembre 1877, en ligne : </w:t>
      </w:r>
      <w:r w:rsidRPr="003C6160">
        <w:rPr>
          <w:i/>
          <w:sz w:val="20"/>
        </w:rPr>
        <w:t>Gouvernement du Canada</w:t>
      </w:r>
      <w:r w:rsidRPr="003C6160">
        <w:rPr>
          <w:sz w:val="20"/>
        </w:rPr>
        <w:t xml:space="preserve"> &lt;aadnc-aandc.gc.ca/fra/1100100028793/1100100028803&gt;.</w:t>
      </w:r>
    </w:p>
  </w:footnote>
  <w:footnote w:id="2">
    <w:p w14:paraId="53172238" w14:textId="77777777" w:rsidR="00CB2789" w:rsidRPr="003C6160" w:rsidRDefault="00CB2789" w:rsidP="003C6160">
      <w:pPr>
        <w:pStyle w:val="Notedebasdepage"/>
        <w:ind w:left="142" w:hanging="142"/>
        <w:rPr>
          <w:sz w:val="20"/>
        </w:rPr>
      </w:pPr>
      <w:r w:rsidRPr="003C6160">
        <w:rPr>
          <w:rStyle w:val="Appelnotedebasdep"/>
          <w:sz w:val="20"/>
        </w:rPr>
        <w:footnoteRef/>
      </w:r>
      <w:r w:rsidRPr="003C6160">
        <w:rPr>
          <w:sz w:val="20"/>
        </w:rPr>
        <w:t xml:space="preserve"> Voir Commission de la santé et des services sociaux des premières nations du Québec et du Labrador (CSSSPNQL), « Pensionnats autochtones et services de la protection de la jeunesse » (2018) à la p 2, en ligne (</w:t>
      </w:r>
      <w:proofErr w:type="spellStart"/>
      <w:r w:rsidRPr="003C6160">
        <w:rPr>
          <w:sz w:val="20"/>
        </w:rPr>
        <w:t>pdf</w:t>
      </w:r>
      <w:proofErr w:type="spellEnd"/>
      <w:r w:rsidRPr="003C6160">
        <w:rPr>
          <w:sz w:val="20"/>
        </w:rPr>
        <w:t xml:space="preserve">) : </w:t>
      </w:r>
      <w:r w:rsidRPr="003C6160">
        <w:rPr>
          <w:i/>
          <w:sz w:val="20"/>
        </w:rPr>
        <w:t>CSSSPNQL</w:t>
      </w:r>
      <w:r w:rsidRPr="003C6160">
        <w:rPr>
          <w:sz w:val="20"/>
        </w:rPr>
        <w:t xml:space="preserve"> &lt;</w:t>
      </w:r>
      <w:proofErr w:type="gramStart"/>
      <w:r w:rsidRPr="003C6160">
        <w:rPr>
          <w:sz w:val="20"/>
        </w:rPr>
        <w:t>cssspnql.com/docs/default-source/ers-phase-3/pensionnats_ers_phase-3_fra.pdf?sfvrsn</w:t>
      </w:r>
      <w:proofErr w:type="gramEnd"/>
      <w:r w:rsidRPr="003C6160">
        <w:rPr>
          <w:sz w:val="20"/>
        </w:rPr>
        <w:t xml:space="preserve">=2&gt;. </w:t>
      </w:r>
    </w:p>
  </w:footnote>
  <w:footnote w:id="3">
    <w:p w14:paraId="3988AF26" w14:textId="39503A10" w:rsidR="00CB2789" w:rsidRPr="003C6160" w:rsidRDefault="00CB2789" w:rsidP="003C6160">
      <w:pPr>
        <w:pStyle w:val="Notedebasdepage"/>
        <w:ind w:left="142" w:hanging="142"/>
        <w:rPr>
          <w:sz w:val="20"/>
        </w:rPr>
      </w:pPr>
      <w:r w:rsidRPr="003C6160">
        <w:rPr>
          <w:rStyle w:val="Appelnotedebasdep"/>
          <w:sz w:val="20"/>
        </w:rPr>
        <w:footnoteRef/>
      </w:r>
      <w:r w:rsidRPr="003C6160">
        <w:rPr>
          <w:sz w:val="20"/>
        </w:rPr>
        <w:t xml:space="preserve"> Voir « Justice » (dernière consultation le 7 février 2019), en ligne : </w:t>
      </w:r>
      <w:r w:rsidRPr="003C6160">
        <w:rPr>
          <w:i/>
          <w:sz w:val="20"/>
        </w:rPr>
        <w:t xml:space="preserve">Mohawk Council of </w:t>
      </w:r>
      <w:proofErr w:type="spellStart"/>
      <w:r w:rsidRPr="003C6160">
        <w:rPr>
          <w:i/>
          <w:sz w:val="20"/>
        </w:rPr>
        <w:t>Akwesasne</w:t>
      </w:r>
      <w:proofErr w:type="spellEnd"/>
      <w:r w:rsidRPr="003C6160">
        <w:rPr>
          <w:sz w:val="20"/>
        </w:rPr>
        <w:t xml:space="preserve"> &lt;akwesasne.ca/justice/&gt;</w:t>
      </w:r>
      <w:r w:rsidR="00A46CCB" w:rsidRPr="003C6160">
        <w:rPr>
          <w:sz w:val="20"/>
        </w:rPr>
        <w:t xml:space="preserve"> [</w:t>
      </w:r>
      <w:r w:rsidR="00A46CCB" w:rsidRPr="003C6160">
        <w:rPr>
          <w:i/>
          <w:sz w:val="20"/>
        </w:rPr>
        <w:t>Justice</w:t>
      </w:r>
      <w:r w:rsidR="00A46CCB" w:rsidRPr="003C6160">
        <w:rPr>
          <w:sz w:val="20"/>
        </w:rPr>
        <w:t>]</w:t>
      </w:r>
      <w:r w:rsidRPr="003C6160">
        <w:rPr>
          <w:sz w:val="20"/>
        </w:rPr>
        <w:t>.</w:t>
      </w:r>
    </w:p>
  </w:footnote>
  <w:footnote w:id="4">
    <w:p w14:paraId="4BB41D12" w14:textId="77777777" w:rsidR="00CB2789" w:rsidRPr="003C6160" w:rsidRDefault="00CB2789" w:rsidP="00CB2789">
      <w:pPr>
        <w:pStyle w:val="Notedebasdepage"/>
        <w:ind w:left="142" w:hanging="142"/>
        <w:rPr>
          <w:sz w:val="20"/>
        </w:rPr>
      </w:pPr>
      <w:r w:rsidRPr="003C6160">
        <w:rPr>
          <w:rStyle w:val="Appelnotedebasdep"/>
          <w:sz w:val="20"/>
        </w:rPr>
        <w:footnoteRef/>
      </w:r>
      <w:r w:rsidRPr="003C6160">
        <w:rPr>
          <w:sz w:val="20"/>
        </w:rPr>
        <w:t xml:space="preserve"> Voir Commission de vérité et réconciliation du Canada (CVR), « Honorer la vérité, réconcilier pour l’avenir » (2015) à la p 178, en ligne (</w:t>
      </w:r>
      <w:proofErr w:type="spellStart"/>
      <w:r w:rsidRPr="003C6160">
        <w:rPr>
          <w:sz w:val="20"/>
        </w:rPr>
        <w:t>pdf</w:t>
      </w:r>
      <w:proofErr w:type="spellEnd"/>
      <w:r w:rsidRPr="003C6160">
        <w:rPr>
          <w:sz w:val="20"/>
        </w:rPr>
        <w:t xml:space="preserve">) : </w:t>
      </w:r>
      <w:r w:rsidRPr="003C6160">
        <w:rPr>
          <w:i/>
          <w:sz w:val="20"/>
        </w:rPr>
        <w:t>CVR</w:t>
      </w:r>
      <w:r w:rsidRPr="003C6160">
        <w:rPr>
          <w:sz w:val="20"/>
        </w:rPr>
        <w:t xml:space="preserve"> &lt;trc.ca/</w:t>
      </w:r>
      <w:proofErr w:type="spellStart"/>
      <w:r w:rsidRPr="003C6160">
        <w:rPr>
          <w:sz w:val="20"/>
        </w:rPr>
        <w:t>assets</w:t>
      </w:r>
      <w:proofErr w:type="spellEnd"/>
      <w:r w:rsidRPr="003C6160">
        <w:rPr>
          <w:sz w:val="20"/>
        </w:rPr>
        <w:t>/</w:t>
      </w:r>
      <w:proofErr w:type="spellStart"/>
      <w:r w:rsidRPr="003C6160">
        <w:rPr>
          <w:sz w:val="20"/>
        </w:rPr>
        <w:t>pdf</w:t>
      </w:r>
      <w:proofErr w:type="spellEnd"/>
      <w:r w:rsidRPr="003C6160">
        <w:rPr>
          <w:sz w:val="20"/>
        </w:rPr>
        <w:t>/French_Exec_Summary_web_revised.pdf&gt; [</w:t>
      </w:r>
      <w:r w:rsidRPr="003C6160">
        <w:rPr>
          <w:i/>
          <w:sz w:val="20"/>
        </w:rPr>
        <w:t>CVR</w:t>
      </w:r>
      <w:r w:rsidRPr="003C6160">
        <w:rPr>
          <w:sz w:val="20"/>
        </w:rPr>
        <w:t>].</w:t>
      </w:r>
    </w:p>
  </w:footnote>
  <w:footnote w:id="5">
    <w:p w14:paraId="57CC1454" w14:textId="77777777" w:rsidR="00CB2789" w:rsidRPr="003C6160" w:rsidRDefault="00CB2789" w:rsidP="00CB2789">
      <w:pPr>
        <w:pStyle w:val="Notedebasdepage"/>
        <w:rPr>
          <w:sz w:val="20"/>
        </w:rPr>
      </w:pPr>
      <w:r w:rsidRPr="003C6160">
        <w:rPr>
          <w:rStyle w:val="Appelnotedebasdep"/>
          <w:sz w:val="20"/>
        </w:rPr>
        <w:footnoteRef/>
      </w:r>
      <w:r w:rsidRPr="003C6160">
        <w:rPr>
          <w:sz w:val="20"/>
        </w:rPr>
        <w:t xml:space="preserve"> </w:t>
      </w:r>
      <w:proofErr w:type="spellStart"/>
      <w:r w:rsidRPr="003C6160">
        <w:rPr>
          <w:i/>
          <w:sz w:val="20"/>
        </w:rPr>
        <w:t>Ibid</w:t>
      </w:r>
      <w:proofErr w:type="spellEnd"/>
      <w:r w:rsidRPr="003C6160">
        <w:rPr>
          <w:sz w:val="20"/>
        </w:rPr>
        <w:t xml:space="preserve"> à la p 179.</w:t>
      </w:r>
    </w:p>
  </w:footnote>
  <w:footnote w:id="6">
    <w:p w14:paraId="4B34BDB8" w14:textId="77777777" w:rsidR="00CB2789" w:rsidRPr="003C6160" w:rsidRDefault="00CB2789" w:rsidP="00CB2789">
      <w:pPr>
        <w:pStyle w:val="Notedebasdepage"/>
        <w:rPr>
          <w:sz w:val="20"/>
        </w:rPr>
      </w:pPr>
      <w:r w:rsidRPr="003C6160">
        <w:rPr>
          <w:rStyle w:val="Appelnotedebasdep"/>
          <w:sz w:val="20"/>
        </w:rPr>
        <w:footnoteRef/>
      </w:r>
      <w:r w:rsidRPr="003C6160">
        <w:rPr>
          <w:sz w:val="20"/>
        </w:rPr>
        <w:t xml:space="preserve"> </w:t>
      </w:r>
      <w:proofErr w:type="spellStart"/>
      <w:r w:rsidRPr="003C6160">
        <w:rPr>
          <w:i/>
          <w:sz w:val="20"/>
        </w:rPr>
        <w:t>Ibid</w:t>
      </w:r>
      <w:proofErr w:type="spellEnd"/>
      <w:r w:rsidRPr="003C6160">
        <w:rPr>
          <w:sz w:val="20"/>
        </w:rPr>
        <w:t xml:space="preserve"> aux pp 149</w:t>
      </w:r>
      <w:r w:rsidRPr="003C6160">
        <w:rPr>
          <w:sz w:val="20"/>
        </w:rPr>
        <w:sym w:font="Symbol" w:char="F02D"/>
      </w:r>
      <w:r w:rsidRPr="003C6160">
        <w:rPr>
          <w:sz w:val="20"/>
        </w:rPr>
        <w:t>150.</w:t>
      </w:r>
    </w:p>
  </w:footnote>
  <w:footnote w:id="7">
    <w:p w14:paraId="415F2891" w14:textId="77777777" w:rsidR="00CB2789" w:rsidRPr="003C6160" w:rsidRDefault="00CB2789" w:rsidP="00CB2789">
      <w:pPr>
        <w:pStyle w:val="Notedebasdepage"/>
        <w:ind w:left="142" w:hanging="142"/>
        <w:rPr>
          <w:sz w:val="20"/>
        </w:rPr>
      </w:pPr>
      <w:r w:rsidRPr="003C6160">
        <w:rPr>
          <w:rStyle w:val="Appelnotedebasdep"/>
          <w:sz w:val="20"/>
        </w:rPr>
        <w:footnoteRef/>
      </w:r>
      <w:r w:rsidRPr="003C6160">
        <w:rPr>
          <w:sz w:val="20"/>
        </w:rPr>
        <w:t xml:space="preserve"> Voir Gerald </w:t>
      </w:r>
      <w:proofErr w:type="spellStart"/>
      <w:r w:rsidRPr="003C6160">
        <w:rPr>
          <w:sz w:val="20"/>
        </w:rPr>
        <w:t>L</w:t>
      </w:r>
      <w:proofErr w:type="spellEnd"/>
      <w:r w:rsidRPr="003C6160">
        <w:rPr>
          <w:sz w:val="20"/>
        </w:rPr>
        <w:t xml:space="preserve"> Gall, « Magistrature du Canada » (dernière modification le 24 février 2017), en ligne : </w:t>
      </w:r>
      <w:r w:rsidRPr="003C6160">
        <w:rPr>
          <w:i/>
          <w:sz w:val="20"/>
        </w:rPr>
        <w:t>L’Encyclopédie canadienne</w:t>
      </w:r>
      <w:r w:rsidRPr="003C6160">
        <w:rPr>
          <w:sz w:val="20"/>
        </w:rPr>
        <w:t xml:space="preserve"> &lt;thecanadianencyclopedia.ca/</w:t>
      </w:r>
      <w:proofErr w:type="spellStart"/>
      <w:r w:rsidRPr="003C6160">
        <w:rPr>
          <w:sz w:val="20"/>
        </w:rPr>
        <w:t>fr</w:t>
      </w:r>
      <w:proofErr w:type="spellEnd"/>
      <w:r w:rsidRPr="003C6160">
        <w:rPr>
          <w:sz w:val="20"/>
        </w:rPr>
        <w:t>/article/magistrature&gt;.</w:t>
      </w:r>
    </w:p>
  </w:footnote>
  <w:footnote w:id="8">
    <w:p w14:paraId="7AA40BA7" w14:textId="77777777" w:rsidR="00CB2789" w:rsidRPr="003C6160" w:rsidRDefault="00CB2789" w:rsidP="00CB2789">
      <w:pPr>
        <w:pStyle w:val="Notedebasdepage"/>
        <w:ind w:left="142" w:hanging="142"/>
        <w:rPr>
          <w:sz w:val="20"/>
        </w:rPr>
      </w:pPr>
      <w:r w:rsidRPr="003C6160">
        <w:rPr>
          <w:rStyle w:val="Appelnotedebasdep"/>
          <w:sz w:val="20"/>
        </w:rPr>
        <w:footnoteRef/>
      </w:r>
      <w:r w:rsidRPr="003C6160">
        <w:rPr>
          <w:sz w:val="20"/>
        </w:rPr>
        <w:t xml:space="preserve"> Voir « Nouveaux juges à la Cour du Québec » (dernière consultation le 8 février 2019), en ligne : </w:t>
      </w:r>
      <w:r w:rsidRPr="003C6160">
        <w:rPr>
          <w:i/>
          <w:sz w:val="20"/>
        </w:rPr>
        <w:t>Cour du Québec</w:t>
      </w:r>
      <w:r w:rsidRPr="003C6160">
        <w:rPr>
          <w:sz w:val="20"/>
        </w:rPr>
        <w:t xml:space="preserve"> &lt;tribunaux.qc.ca/c-quebec/NominationsAppelsCandidatures/fs_nouveaux_juges_CQ.html&gt;.</w:t>
      </w:r>
    </w:p>
  </w:footnote>
  <w:footnote w:id="9">
    <w:p w14:paraId="026002BA" w14:textId="77777777" w:rsidR="00CB2789" w:rsidRPr="003C6160" w:rsidRDefault="00CB2789" w:rsidP="007B2F6B">
      <w:pPr>
        <w:pStyle w:val="Notedebasdepage"/>
        <w:ind w:left="142" w:hanging="142"/>
        <w:rPr>
          <w:sz w:val="20"/>
        </w:rPr>
      </w:pPr>
      <w:r w:rsidRPr="003C6160">
        <w:rPr>
          <w:rStyle w:val="Appelnotedebasdep"/>
          <w:sz w:val="20"/>
        </w:rPr>
        <w:footnoteRef/>
      </w:r>
      <w:r w:rsidRPr="003C6160">
        <w:rPr>
          <w:sz w:val="20"/>
        </w:rPr>
        <w:t xml:space="preserve"> Voir </w:t>
      </w:r>
      <w:proofErr w:type="spellStart"/>
      <w:r w:rsidRPr="003C6160">
        <w:rPr>
          <w:sz w:val="20"/>
        </w:rPr>
        <w:t>Zach</w:t>
      </w:r>
      <w:proofErr w:type="spellEnd"/>
      <w:r w:rsidRPr="003C6160">
        <w:rPr>
          <w:sz w:val="20"/>
        </w:rPr>
        <w:t xml:space="preserve"> </w:t>
      </w:r>
      <w:proofErr w:type="spellStart"/>
      <w:r w:rsidRPr="003C6160">
        <w:rPr>
          <w:sz w:val="20"/>
        </w:rPr>
        <w:t>Parrott</w:t>
      </w:r>
      <w:proofErr w:type="spellEnd"/>
      <w:r w:rsidRPr="003C6160">
        <w:rPr>
          <w:sz w:val="20"/>
        </w:rPr>
        <w:t xml:space="preserve">, « Affaire </w:t>
      </w:r>
      <w:proofErr w:type="spellStart"/>
      <w:r w:rsidRPr="003C6160">
        <w:rPr>
          <w:sz w:val="20"/>
        </w:rPr>
        <w:t>Gladue</w:t>
      </w:r>
      <w:proofErr w:type="spellEnd"/>
      <w:r w:rsidRPr="003C6160">
        <w:rPr>
          <w:sz w:val="20"/>
        </w:rPr>
        <w:t xml:space="preserve"> » (dernière modification le 19 septembre 2017), en ligne : </w:t>
      </w:r>
      <w:r w:rsidRPr="003C6160">
        <w:rPr>
          <w:i/>
          <w:sz w:val="20"/>
        </w:rPr>
        <w:t>L’Encyclopédie canadienne</w:t>
      </w:r>
      <w:r w:rsidRPr="003C6160">
        <w:rPr>
          <w:sz w:val="20"/>
        </w:rPr>
        <w:t xml:space="preserve"> &lt;</w:t>
      </w:r>
      <w:r w:rsidRPr="00566A95">
        <w:rPr>
          <w:rStyle w:val="Lienhypertexte"/>
          <w:color w:val="000000" w:themeColor="text1"/>
          <w:sz w:val="20"/>
          <w:u w:val="none"/>
        </w:rPr>
        <w:t>thecanadianencyclopedia.ca/</w:t>
      </w:r>
      <w:proofErr w:type="spellStart"/>
      <w:r w:rsidRPr="00566A95">
        <w:rPr>
          <w:rStyle w:val="Lienhypertexte"/>
          <w:color w:val="000000" w:themeColor="text1"/>
          <w:sz w:val="20"/>
          <w:u w:val="none"/>
        </w:rPr>
        <w:t>fr</w:t>
      </w:r>
      <w:proofErr w:type="spellEnd"/>
      <w:r w:rsidRPr="00566A95">
        <w:rPr>
          <w:rStyle w:val="Lienhypertexte"/>
          <w:color w:val="000000" w:themeColor="text1"/>
          <w:sz w:val="20"/>
          <w:u w:val="none"/>
        </w:rPr>
        <w:t>/article/r-c-</w:t>
      </w:r>
      <w:proofErr w:type="spellStart"/>
      <w:r w:rsidRPr="00566A95">
        <w:rPr>
          <w:rStyle w:val="Lienhypertexte"/>
          <w:color w:val="000000" w:themeColor="text1"/>
          <w:sz w:val="20"/>
          <w:u w:val="none"/>
        </w:rPr>
        <w:t>gladue</w:t>
      </w:r>
      <w:proofErr w:type="spellEnd"/>
      <w:r w:rsidRPr="003C6160">
        <w:rPr>
          <w:sz w:val="20"/>
        </w:rPr>
        <w:t>&gt;.</w:t>
      </w:r>
    </w:p>
  </w:footnote>
  <w:footnote w:id="10">
    <w:p w14:paraId="38555331" w14:textId="77777777" w:rsidR="00CB2789" w:rsidRPr="003C6160" w:rsidRDefault="00CB2789" w:rsidP="007B2F6B">
      <w:pPr>
        <w:pStyle w:val="Notedebasdepage"/>
        <w:ind w:left="142" w:hanging="142"/>
        <w:rPr>
          <w:sz w:val="20"/>
          <w:lang w:val="en-US"/>
        </w:rPr>
      </w:pPr>
      <w:r w:rsidRPr="003C6160">
        <w:rPr>
          <w:rStyle w:val="Appelnotedebasdep"/>
          <w:sz w:val="20"/>
        </w:rPr>
        <w:footnoteRef/>
      </w:r>
      <w:r w:rsidRPr="003C6160">
        <w:rPr>
          <w:sz w:val="20"/>
          <w:lang w:val="en-US"/>
        </w:rPr>
        <w:t xml:space="preserve"> </w:t>
      </w:r>
      <w:proofErr w:type="spellStart"/>
      <w:r w:rsidRPr="003C6160">
        <w:rPr>
          <w:sz w:val="20"/>
          <w:lang w:val="en-US"/>
        </w:rPr>
        <w:t>Voir</w:t>
      </w:r>
      <w:proofErr w:type="spellEnd"/>
      <w:r w:rsidRPr="003C6160">
        <w:rPr>
          <w:sz w:val="20"/>
          <w:lang w:val="en-US"/>
        </w:rPr>
        <w:t xml:space="preserve"> Val Napoleon et Hadley </w:t>
      </w:r>
      <w:proofErr w:type="spellStart"/>
      <w:r w:rsidRPr="003C6160">
        <w:rPr>
          <w:sz w:val="20"/>
          <w:lang w:val="en-US"/>
        </w:rPr>
        <w:t>Friedland</w:t>
      </w:r>
      <w:proofErr w:type="spellEnd"/>
      <w:r w:rsidRPr="003C6160">
        <w:rPr>
          <w:sz w:val="20"/>
          <w:lang w:val="en-US"/>
        </w:rPr>
        <w:t xml:space="preserve">, « Indigenous Legal Traditions: Roots to Renaissance » </w:t>
      </w:r>
      <w:proofErr w:type="spellStart"/>
      <w:r w:rsidRPr="003C6160">
        <w:rPr>
          <w:sz w:val="20"/>
          <w:lang w:val="en-US"/>
        </w:rPr>
        <w:t>dans</w:t>
      </w:r>
      <w:proofErr w:type="spellEnd"/>
      <w:r w:rsidRPr="003C6160">
        <w:rPr>
          <w:sz w:val="20"/>
          <w:lang w:val="en-US"/>
        </w:rPr>
        <w:t xml:space="preserve"> Markus D </w:t>
      </w:r>
      <w:proofErr w:type="spellStart"/>
      <w:r w:rsidRPr="003C6160">
        <w:rPr>
          <w:sz w:val="20"/>
          <w:lang w:val="en-US"/>
        </w:rPr>
        <w:t>Dubber</w:t>
      </w:r>
      <w:proofErr w:type="spellEnd"/>
      <w:r w:rsidRPr="003C6160">
        <w:rPr>
          <w:sz w:val="20"/>
          <w:lang w:val="en-US"/>
        </w:rPr>
        <w:t xml:space="preserve"> et </w:t>
      </w:r>
      <w:proofErr w:type="spellStart"/>
      <w:r w:rsidRPr="003C6160">
        <w:rPr>
          <w:sz w:val="20"/>
          <w:lang w:val="en-US"/>
        </w:rPr>
        <w:t>Tatjana</w:t>
      </w:r>
      <w:proofErr w:type="spellEnd"/>
      <w:r w:rsidRPr="003C6160">
        <w:rPr>
          <w:sz w:val="20"/>
          <w:lang w:val="en-US"/>
        </w:rPr>
        <w:t xml:space="preserve"> </w:t>
      </w:r>
      <w:proofErr w:type="spellStart"/>
      <w:r w:rsidRPr="003C6160">
        <w:rPr>
          <w:sz w:val="20"/>
          <w:lang w:val="en-US"/>
        </w:rPr>
        <w:t>Hörnle</w:t>
      </w:r>
      <w:proofErr w:type="spellEnd"/>
      <w:r w:rsidRPr="003C6160">
        <w:rPr>
          <w:sz w:val="20"/>
          <w:lang w:val="en-US"/>
        </w:rPr>
        <w:t xml:space="preserve">, </w:t>
      </w:r>
      <w:proofErr w:type="spellStart"/>
      <w:r w:rsidRPr="003C6160">
        <w:rPr>
          <w:sz w:val="20"/>
          <w:lang w:val="en-US"/>
        </w:rPr>
        <w:t>éds</w:t>
      </w:r>
      <w:proofErr w:type="spellEnd"/>
      <w:r w:rsidRPr="003C6160">
        <w:rPr>
          <w:sz w:val="20"/>
          <w:lang w:val="en-US"/>
        </w:rPr>
        <w:t xml:space="preserve">, </w:t>
      </w:r>
      <w:r w:rsidRPr="003C6160">
        <w:rPr>
          <w:i/>
          <w:sz w:val="20"/>
          <w:lang w:val="en-US"/>
        </w:rPr>
        <w:t>The Oxford Handbook of Criminal Law</w:t>
      </w:r>
      <w:r w:rsidRPr="003C6160">
        <w:rPr>
          <w:sz w:val="20"/>
          <w:lang w:val="en-US"/>
        </w:rPr>
        <w:t>, Oxford, Oxford University Press, 2014, 225 aux pp 235</w:t>
      </w:r>
      <w:r w:rsidRPr="003C6160">
        <w:rPr>
          <w:sz w:val="20"/>
          <w:lang w:val="en-US"/>
        </w:rPr>
        <w:sym w:font="Symbol" w:char="F02D"/>
      </w:r>
      <w:r w:rsidRPr="003C6160">
        <w:rPr>
          <w:sz w:val="20"/>
          <w:lang w:val="en-US"/>
        </w:rPr>
        <w:t>236.</w:t>
      </w:r>
    </w:p>
  </w:footnote>
  <w:footnote w:id="11">
    <w:p w14:paraId="3C654C6E" w14:textId="014B9DDA" w:rsidR="00CB2789" w:rsidRPr="003C6160" w:rsidRDefault="00CB2789" w:rsidP="007B2F6B">
      <w:pPr>
        <w:pStyle w:val="Notedebasdepage"/>
        <w:rPr>
          <w:sz w:val="20"/>
        </w:rPr>
      </w:pPr>
      <w:r w:rsidRPr="003C6160">
        <w:rPr>
          <w:rStyle w:val="Appelnotedebasdep"/>
          <w:sz w:val="20"/>
        </w:rPr>
        <w:footnoteRef/>
      </w:r>
      <w:r w:rsidRPr="003C6160">
        <w:rPr>
          <w:sz w:val="20"/>
        </w:rPr>
        <w:t xml:space="preserve"> </w:t>
      </w:r>
      <w:r w:rsidRPr="003C6160">
        <w:rPr>
          <w:i/>
          <w:sz w:val="20"/>
        </w:rPr>
        <w:t>CVR</w:t>
      </w:r>
      <w:r w:rsidRPr="003C6160">
        <w:rPr>
          <w:sz w:val="20"/>
        </w:rPr>
        <w:t xml:space="preserve">, </w:t>
      </w:r>
      <w:r w:rsidRPr="003C6160">
        <w:rPr>
          <w:i/>
          <w:sz w:val="20"/>
        </w:rPr>
        <w:t>supra</w:t>
      </w:r>
      <w:r w:rsidRPr="003C6160">
        <w:rPr>
          <w:sz w:val="20"/>
        </w:rPr>
        <w:t xml:space="preserve"> note </w:t>
      </w:r>
      <w:r w:rsidR="003C6160">
        <w:rPr>
          <w:sz w:val="20"/>
        </w:rPr>
        <w:t>4</w:t>
      </w:r>
      <w:r w:rsidRPr="003C6160">
        <w:rPr>
          <w:sz w:val="20"/>
        </w:rPr>
        <w:t xml:space="preserve"> aux pp 172, 191</w:t>
      </w:r>
      <w:r w:rsidRPr="003C6160">
        <w:rPr>
          <w:sz w:val="20"/>
        </w:rPr>
        <w:sym w:font="Symbol" w:char="F02D"/>
      </w:r>
      <w:r w:rsidRPr="003C6160">
        <w:rPr>
          <w:sz w:val="20"/>
        </w:rPr>
        <w:t>192.</w:t>
      </w:r>
    </w:p>
  </w:footnote>
  <w:footnote w:id="12">
    <w:p w14:paraId="2EC8ECE1" w14:textId="77777777" w:rsidR="00674BC6" w:rsidRPr="003C6160" w:rsidRDefault="00674BC6" w:rsidP="007B2F6B">
      <w:pPr>
        <w:pStyle w:val="Notedebasdepage"/>
        <w:ind w:left="142" w:hanging="142"/>
        <w:rPr>
          <w:sz w:val="20"/>
          <w:szCs w:val="20"/>
        </w:rPr>
      </w:pPr>
      <w:r w:rsidRPr="003C6160">
        <w:rPr>
          <w:rStyle w:val="Appelnotedebasdep"/>
          <w:sz w:val="20"/>
          <w:szCs w:val="20"/>
        </w:rPr>
        <w:footnoteRef/>
      </w:r>
      <w:r w:rsidRPr="003C6160">
        <w:rPr>
          <w:sz w:val="20"/>
          <w:szCs w:val="20"/>
        </w:rPr>
        <w:t xml:space="preserve"> Voir </w:t>
      </w:r>
      <w:r w:rsidRPr="003C6160">
        <w:rPr>
          <w:rFonts w:eastAsia="Times New Roman"/>
          <w:color w:val="111111"/>
          <w:sz w:val="20"/>
          <w:szCs w:val="20"/>
          <w:shd w:val="clear" w:color="auto" w:fill="FFFFFF"/>
          <w:lang w:eastAsia="fr-CA"/>
        </w:rPr>
        <w:t xml:space="preserve">« Profil des nations » (dernière modification le 13 juin 2013), en ligne : </w:t>
      </w:r>
      <w:r w:rsidRPr="003C6160">
        <w:rPr>
          <w:rFonts w:eastAsia="Times New Roman"/>
          <w:i/>
          <w:iCs/>
          <w:color w:val="111111"/>
          <w:sz w:val="20"/>
          <w:szCs w:val="20"/>
          <w:shd w:val="clear" w:color="auto" w:fill="FFFFFF"/>
          <w:lang w:eastAsia="fr-CA"/>
        </w:rPr>
        <w:t xml:space="preserve">Secrétariat aux affaires autochtones </w:t>
      </w:r>
      <w:r w:rsidRPr="003C6160">
        <w:rPr>
          <w:rFonts w:eastAsia="Times New Roman"/>
          <w:color w:val="111111"/>
          <w:sz w:val="20"/>
          <w:szCs w:val="20"/>
          <w:shd w:val="clear" w:color="auto" w:fill="FFFFFF"/>
          <w:lang w:eastAsia="fr-CA"/>
        </w:rPr>
        <w:t>&lt;autochtones.gouv.qc.ca/relations_autochtones/profils_nations/profil.htm &gt;.</w:t>
      </w:r>
    </w:p>
  </w:footnote>
  <w:footnote w:id="13">
    <w:p w14:paraId="6D34500C" w14:textId="77777777" w:rsidR="00674BC6" w:rsidRPr="003C6160" w:rsidRDefault="00674BC6" w:rsidP="007B2F6B">
      <w:pPr>
        <w:pStyle w:val="Notedebasdepage"/>
        <w:ind w:left="142" w:hanging="142"/>
        <w:rPr>
          <w:sz w:val="20"/>
          <w:szCs w:val="20"/>
          <w:lang w:val="en-US"/>
        </w:rPr>
      </w:pPr>
      <w:r w:rsidRPr="003C6160">
        <w:rPr>
          <w:rStyle w:val="Appelnotedebasdep"/>
          <w:sz w:val="20"/>
          <w:szCs w:val="20"/>
        </w:rPr>
        <w:footnoteRef/>
      </w:r>
      <w:r w:rsidRPr="003C6160">
        <w:rPr>
          <w:sz w:val="20"/>
          <w:szCs w:val="20"/>
          <w:lang w:val="en-US"/>
        </w:rPr>
        <w:t xml:space="preserve"> </w:t>
      </w:r>
      <w:proofErr w:type="spellStart"/>
      <w:r w:rsidRPr="003C6160">
        <w:rPr>
          <w:sz w:val="20"/>
          <w:szCs w:val="20"/>
          <w:lang w:val="en-US"/>
        </w:rPr>
        <w:t>Voir</w:t>
      </w:r>
      <w:proofErr w:type="spellEnd"/>
      <w:r w:rsidRPr="003C6160">
        <w:rPr>
          <w:sz w:val="20"/>
          <w:szCs w:val="20"/>
          <w:lang w:val="en-US"/>
        </w:rPr>
        <w:t xml:space="preserve"> </w:t>
      </w:r>
      <w:r w:rsidRPr="003C6160">
        <w:rPr>
          <w:rFonts w:eastAsia="Times New Roman"/>
          <w:color w:val="111111"/>
          <w:sz w:val="20"/>
          <w:szCs w:val="20"/>
          <w:shd w:val="clear" w:color="auto" w:fill="FFFFFF"/>
          <w:lang w:val="en-US" w:eastAsia="fr-CA"/>
        </w:rPr>
        <w:t xml:space="preserve">« New indigenous court system could set precedents across the country: Editorial », </w:t>
      </w:r>
      <w:r w:rsidRPr="003C6160">
        <w:rPr>
          <w:rFonts w:eastAsia="Times New Roman"/>
          <w:i/>
          <w:iCs/>
          <w:color w:val="111111"/>
          <w:sz w:val="20"/>
          <w:szCs w:val="20"/>
          <w:shd w:val="clear" w:color="auto" w:fill="FFFFFF"/>
          <w:lang w:val="en-US" w:eastAsia="fr-CA"/>
        </w:rPr>
        <w:t>The Star</w:t>
      </w:r>
      <w:r w:rsidRPr="003C6160">
        <w:rPr>
          <w:rFonts w:eastAsia="Times New Roman"/>
          <w:color w:val="111111"/>
          <w:sz w:val="20"/>
          <w:szCs w:val="20"/>
          <w:shd w:val="clear" w:color="auto" w:fill="FFFFFF"/>
          <w:lang w:val="en-US" w:eastAsia="fr-CA"/>
        </w:rPr>
        <w:t xml:space="preserve"> (7 </w:t>
      </w:r>
      <w:proofErr w:type="spellStart"/>
      <w:r w:rsidRPr="003C6160">
        <w:rPr>
          <w:rFonts w:eastAsia="Times New Roman"/>
          <w:color w:val="111111"/>
          <w:sz w:val="20"/>
          <w:szCs w:val="20"/>
          <w:shd w:val="clear" w:color="auto" w:fill="FFFFFF"/>
          <w:lang w:val="en-US" w:eastAsia="fr-CA"/>
        </w:rPr>
        <w:t>octobre</w:t>
      </w:r>
      <w:proofErr w:type="spellEnd"/>
      <w:r w:rsidRPr="003C6160">
        <w:rPr>
          <w:rFonts w:eastAsia="Times New Roman"/>
          <w:color w:val="111111"/>
          <w:sz w:val="20"/>
          <w:szCs w:val="20"/>
          <w:shd w:val="clear" w:color="auto" w:fill="FFFFFF"/>
          <w:lang w:val="en-US" w:eastAsia="fr-CA"/>
        </w:rPr>
        <w:t xml:space="preserve"> 2016), </w:t>
      </w:r>
      <w:proofErr w:type="spellStart"/>
      <w:r w:rsidRPr="003C6160">
        <w:rPr>
          <w:rFonts w:eastAsia="Times New Roman"/>
          <w:color w:val="111111"/>
          <w:sz w:val="20"/>
          <w:szCs w:val="20"/>
          <w:shd w:val="clear" w:color="auto" w:fill="FFFFFF"/>
          <w:lang w:val="en-US" w:eastAsia="fr-CA"/>
        </w:rPr>
        <w:t>en</w:t>
      </w:r>
      <w:proofErr w:type="spellEnd"/>
      <w:r w:rsidRPr="003C6160">
        <w:rPr>
          <w:rFonts w:eastAsia="Times New Roman"/>
          <w:color w:val="111111"/>
          <w:sz w:val="20"/>
          <w:szCs w:val="20"/>
          <w:shd w:val="clear" w:color="auto" w:fill="FFFFFF"/>
          <w:lang w:val="en-US" w:eastAsia="fr-CA"/>
        </w:rPr>
        <w:t xml:space="preserve"> </w:t>
      </w:r>
      <w:proofErr w:type="spellStart"/>
      <w:proofErr w:type="gramStart"/>
      <w:r w:rsidRPr="003C6160">
        <w:rPr>
          <w:rFonts w:eastAsia="Times New Roman"/>
          <w:color w:val="111111"/>
          <w:sz w:val="20"/>
          <w:szCs w:val="20"/>
          <w:shd w:val="clear" w:color="auto" w:fill="FFFFFF"/>
          <w:lang w:val="en-US" w:eastAsia="fr-CA"/>
        </w:rPr>
        <w:t>ligne</w:t>
      </w:r>
      <w:proofErr w:type="spellEnd"/>
      <w:r w:rsidRPr="003C6160">
        <w:rPr>
          <w:rFonts w:eastAsia="Times New Roman"/>
          <w:color w:val="111111"/>
          <w:sz w:val="20"/>
          <w:szCs w:val="20"/>
          <w:shd w:val="clear" w:color="auto" w:fill="FFFFFF"/>
          <w:lang w:val="en-US" w:eastAsia="fr-CA"/>
        </w:rPr>
        <w:t xml:space="preserve"> :</w:t>
      </w:r>
      <w:proofErr w:type="gramEnd"/>
      <w:r w:rsidRPr="003C6160">
        <w:rPr>
          <w:rFonts w:eastAsia="Times New Roman"/>
          <w:color w:val="111111"/>
          <w:sz w:val="20"/>
          <w:szCs w:val="20"/>
          <w:shd w:val="clear" w:color="auto" w:fill="FFFFFF"/>
          <w:lang w:val="en-US" w:eastAsia="fr-CA"/>
        </w:rPr>
        <w:t xml:space="preserve"> &lt;thestar.com/opinion/editorials/2016/10/07/new-indigenous-court-system-could-set-precedents-across-the-country-editorial.html&gt; [</w:t>
      </w:r>
      <w:r w:rsidRPr="003C6160">
        <w:rPr>
          <w:rFonts w:eastAsia="Times New Roman"/>
          <w:i/>
          <w:color w:val="111111"/>
          <w:sz w:val="20"/>
          <w:szCs w:val="20"/>
          <w:shd w:val="clear" w:color="auto" w:fill="FFFFFF"/>
          <w:lang w:val="en-US" w:eastAsia="fr-CA"/>
        </w:rPr>
        <w:t>Editorial</w:t>
      </w:r>
      <w:r w:rsidRPr="003C6160">
        <w:rPr>
          <w:rFonts w:eastAsia="Times New Roman"/>
          <w:color w:val="111111"/>
          <w:sz w:val="20"/>
          <w:szCs w:val="20"/>
          <w:shd w:val="clear" w:color="auto" w:fill="FFFFFF"/>
          <w:lang w:val="en-US" w:eastAsia="fr-CA"/>
        </w:rPr>
        <w:t xml:space="preserve">]. </w:t>
      </w:r>
    </w:p>
  </w:footnote>
  <w:footnote w:id="14">
    <w:p w14:paraId="0AEFD42C" w14:textId="6A15F8FB" w:rsidR="00674BC6" w:rsidRPr="003C6160" w:rsidRDefault="00674BC6" w:rsidP="007B2F6B">
      <w:pPr>
        <w:rPr>
          <w:rFonts w:eastAsia="Times New Roman"/>
          <w:color w:val="000000" w:themeColor="text1"/>
          <w:sz w:val="20"/>
          <w:szCs w:val="20"/>
          <w:lang w:eastAsia="fr-CA"/>
        </w:rPr>
      </w:pPr>
      <w:r w:rsidRPr="003C6160">
        <w:rPr>
          <w:rStyle w:val="Appelnotedebasdep"/>
          <w:sz w:val="20"/>
          <w:szCs w:val="20"/>
        </w:rPr>
        <w:footnoteRef/>
      </w:r>
      <w:r w:rsidRPr="003C6160">
        <w:rPr>
          <w:sz w:val="20"/>
          <w:szCs w:val="20"/>
        </w:rPr>
        <w:t xml:space="preserve"> </w:t>
      </w:r>
      <w:r w:rsidR="00540681" w:rsidRPr="003C6160">
        <w:rPr>
          <w:i/>
          <w:sz w:val="20"/>
          <w:szCs w:val="20"/>
        </w:rPr>
        <w:t>Ju</w:t>
      </w:r>
      <w:r w:rsidR="007B2F6B">
        <w:rPr>
          <w:i/>
          <w:sz w:val="20"/>
          <w:szCs w:val="20"/>
        </w:rPr>
        <w:t>s</w:t>
      </w:r>
      <w:r w:rsidR="00540681" w:rsidRPr="003C6160">
        <w:rPr>
          <w:i/>
          <w:sz w:val="20"/>
          <w:szCs w:val="20"/>
        </w:rPr>
        <w:t xml:space="preserve">tice, </w:t>
      </w:r>
      <w:r w:rsidR="00A46CCB" w:rsidRPr="003C6160">
        <w:rPr>
          <w:i/>
          <w:sz w:val="20"/>
          <w:szCs w:val="20"/>
        </w:rPr>
        <w:t xml:space="preserve">supra </w:t>
      </w:r>
      <w:r w:rsidR="00A46CCB" w:rsidRPr="003C6160">
        <w:rPr>
          <w:sz w:val="20"/>
          <w:szCs w:val="20"/>
        </w:rPr>
        <w:t xml:space="preserve">note </w:t>
      </w:r>
      <w:r w:rsidR="003C6160">
        <w:rPr>
          <w:color w:val="000000" w:themeColor="text1"/>
          <w:sz w:val="20"/>
          <w:szCs w:val="20"/>
        </w:rPr>
        <w:t>3.</w:t>
      </w:r>
    </w:p>
  </w:footnote>
  <w:footnote w:id="15">
    <w:p w14:paraId="2DAB608C" w14:textId="7F982177" w:rsidR="00674BC6" w:rsidRPr="003C6160" w:rsidRDefault="00674BC6" w:rsidP="007B2F6B">
      <w:pPr>
        <w:pStyle w:val="Notedebasdepage"/>
        <w:rPr>
          <w:sz w:val="20"/>
          <w:szCs w:val="20"/>
        </w:rPr>
      </w:pPr>
      <w:r w:rsidRPr="003C6160">
        <w:rPr>
          <w:rStyle w:val="Appelnotedebasdep"/>
          <w:sz w:val="20"/>
          <w:szCs w:val="20"/>
        </w:rPr>
        <w:footnoteRef/>
      </w:r>
      <w:r w:rsidRPr="003C6160">
        <w:rPr>
          <w:sz w:val="20"/>
          <w:szCs w:val="20"/>
        </w:rPr>
        <w:t xml:space="preserve"> </w:t>
      </w:r>
      <w:proofErr w:type="spellStart"/>
      <w:r w:rsidRPr="003C6160">
        <w:rPr>
          <w:i/>
          <w:sz w:val="20"/>
          <w:szCs w:val="20"/>
        </w:rPr>
        <w:t>Editorial</w:t>
      </w:r>
      <w:proofErr w:type="spellEnd"/>
      <w:r w:rsidRPr="003C6160">
        <w:rPr>
          <w:sz w:val="20"/>
          <w:szCs w:val="20"/>
        </w:rPr>
        <w:t xml:space="preserve">, </w:t>
      </w:r>
      <w:r w:rsidRPr="003C6160">
        <w:rPr>
          <w:i/>
          <w:sz w:val="20"/>
          <w:szCs w:val="20"/>
        </w:rPr>
        <w:t>supra</w:t>
      </w:r>
      <w:r w:rsidR="003C6160">
        <w:rPr>
          <w:sz w:val="20"/>
          <w:szCs w:val="20"/>
        </w:rPr>
        <w:t xml:space="preserve"> note 13</w:t>
      </w:r>
      <w:r w:rsidRPr="003C6160">
        <w:rPr>
          <w:sz w:val="20"/>
          <w:szCs w:val="20"/>
        </w:rPr>
        <w:t>.</w:t>
      </w:r>
    </w:p>
  </w:footnote>
  <w:footnote w:id="16">
    <w:p w14:paraId="22A3960E" w14:textId="77777777" w:rsidR="00674BC6" w:rsidRPr="003C6160" w:rsidRDefault="00674BC6" w:rsidP="007B2F6B">
      <w:pPr>
        <w:ind w:left="142" w:hanging="142"/>
        <w:rPr>
          <w:rFonts w:eastAsia="Times New Roman"/>
          <w:sz w:val="20"/>
          <w:szCs w:val="20"/>
          <w:lang w:eastAsia="fr-CA"/>
        </w:rPr>
      </w:pPr>
      <w:r w:rsidRPr="003C6160">
        <w:rPr>
          <w:rStyle w:val="Appelnotedebasdep"/>
          <w:sz w:val="20"/>
          <w:szCs w:val="20"/>
        </w:rPr>
        <w:footnoteRef/>
      </w:r>
      <w:r w:rsidRPr="003C6160">
        <w:rPr>
          <w:sz w:val="20"/>
          <w:szCs w:val="20"/>
        </w:rPr>
        <w:t xml:space="preserve"> Voir </w:t>
      </w:r>
      <w:r w:rsidRPr="003C6160">
        <w:rPr>
          <w:rFonts w:eastAsia="Times New Roman"/>
          <w:color w:val="111111"/>
          <w:sz w:val="20"/>
          <w:szCs w:val="20"/>
          <w:shd w:val="clear" w:color="auto" w:fill="FFFFFF"/>
          <w:lang w:eastAsia="fr-CA"/>
        </w:rPr>
        <w:t xml:space="preserve">Giuseppe </w:t>
      </w:r>
      <w:proofErr w:type="spellStart"/>
      <w:r w:rsidRPr="003C6160">
        <w:rPr>
          <w:rFonts w:eastAsia="Times New Roman"/>
          <w:color w:val="111111"/>
          <w:sz w:val="20"/>
          <w:szCs w:val="20"/>
          <w:shd w:val="clear" w:color="auto" w:fill="FFFFFF"/>
          <w:lang w:eastAsia="fr-CA"/>
        </w:rPr>
        <w:t>Valiante</w:t>
      </w:r>
      <w:proofErr w:type="spellEnd"/>
      <w:r w:rsidRPr="003C6160">
        <w:rPr>
          <w:rFonts w:eastAsia="Times New Roman"/>
          <w:color w:val="111111"/>
          <w:sz w:val="20"/>
          <w:szCs w:val="20"/>
          <w:shd w:val="clear" w:color="auto" w:fill="FFFFFF"/>
          <w:lang w:eastAsia="fr-CA"/>
        </w:rPr>
        <w:t xml:space="preserve">, « Un premier tribunal autochtone au Canada », </w:t>
      </w:r>
      <w:r w:rsidRPr="003C6160">
        <w:rPr>
          <w:rFonts w:eastAsia="Times New Roman"/>
          <w:i/>
          <w:iCs/>
          <w:color w:val="111111"/>
          <w:sz w:val="20"/>
          <w:szCs w:val="20"/>
          <w:shd w:val="clear" w:color="auto" w:fill="FFFFFF"/>
          <w:lang w:eastAsia="fr-CA"/>
        </w:rPr>
        <w:t>Le Devoir</w:t>
      </w:r>
      <w:r w:rsidRPr="003C6160">
        <w:rPr>
          <w:rFonts w:eastAsia="Times New Roman"/>
          <w:color w:val="111111"/>
          <w:sz w:val="20"/>
          <w:szCs w:val="20"/>
          <w:shd w:val="clear" w:color="auto" w:fill="FFFFFF"/>
          <w:lang w:eastAsia="fr-CA"/>
        </w:rPr>
        <w:t xml:space="preserve"> (3 octobre 2016), en ligne : &lt;ledevoir.com/societe/481355/le-conseil-mohawk-d-akwesasne-cree-le-premier-tribunal-autochtone-au-canada&gt;.</w:t>
      </w:r>
    </w:p>
  </w:footnote>
  <w:footnote w:id="17">
    <w:p w14:paraId="78C05D97" w14:textId="77777777" w:rsidR="00674BC6" w:rsidRPr="003C6160" w:rsidRDefault="00674BC6" w:rsidP="007B2F6B">
      <w:pPr>
        <w:pStyle w:val="Notedebasdepage"/>
        <w:rPr>
          <w:sz w:val="20"/>
          <w:szCs w:val="20"/>
        </w:rPr>
      </w:pPr>
      <w:r w:rsidRPr="003C6160">
        <w:rPr>
          <w:rStyle w:val="Appelnotedebasdep"/>
          <w:sz w:val="20"/>
          <w:szCs w:val="20"/>
        </w:rPr>
        <w:footnoteRef/>
      </w:r>
      <w:r w:rsidRPr="003C6160">
        <w:rPr>
          <w:sz w:val="20"/>
          <w:szCs w:val="20"/>
        </w:rPr>
        <w:t xml:space="preserve"> </w:t>
      </w:r>
      <w:r w:rsidRPr="003C6160">
        <w:rPr>
          <w:i/>
          <w:sz w:val="20"/>
          <w:szCs w:val="20"/>
        </w:rPr>
        <w:t>Ibid</w:t>
      </w:r>
      <w:r w:rsidRPr="003C6160">
        <w:rPr>
          <w:sz w:val="20"/>
          <w:szCs w:val="20"/>
        </w:rPr>
        <w:t>.</w:t>
      </w:r>
    </w:p>
  </w:footnote>
  <w:footnote w:id="18">
    <w:p w14:paraId="06D36724" w14:textId="77777777" w:rsidR="00674BC6" w:rsidRPr="00843F73" w:rsidRDefault="00674BC6" w:rsidP="007B2F6B">
      <w:pPr>
        <w:pStyle w:val="Notedebasdepage"/>
        <w:rPr>
          <w:sz w:val="20"/>
          <w:szCs w:val="20"/>
        </w:rPr>
      </w:pPr>
      <w:r w:rsidRPr="00843F73">
        <w:rPr>
          <w:rStyle w:val="Appelnotedebasdep"/>
          <w:sz w:val="20"/>
          <w:szCs w:val="20"/>
        </w:rPr>
        <w:footnoteRef/>
      </w:r>
      <w:r w:rsidRPr="00843F73">
        <w:rPr>
          <w:sz w:val="20"/>
          <w:szCs w:val="20"/>
        </w:rPr>
        <w:t xml:space="preserve"> </w:t>
      </w:r>
      <w:r w:rsidRPr="00843F73">
        <w:rPr>
          <w:i/>
          <w:sz w:val="20"/>
          <w:szCs w:val="20"/>
        </w:rPr>
        <w:t>Ibid</w:t>
      </w:r>
      <w:r w:rsidRPr="00843F73">
        <w:rPr>
          <w:sz w:val="20"/>
          <w:szCs w:val="20"/>
        </w:rPr>
        <w:t>.</w:t>
      </w:r>
    </w:p>
  </w:footnote>
  <w:footnote w:id="19">
    <w:p w14:paraId="77287829" w14:textId="41BEF323" w:rsidR="00674BC6" w:rsidRPr="00843F73" w:rsidRDefault="00674BC6" w:rsidP="007B2F6B">
      <w:pPr>
        <w:pStyle w:val="Notedebasdepage"/>
        <w:ind w:left="142" w:hanging="142"/>
        <w:rPr>
          <w:sz w:val="20"/>
          <w:szCs w:val="20"/>
        </w:rPr>
      </w:pPr>
      <w:r w:rsidRPr="00843F73">
        <w:rPr>
          <w:rStyle w:val="Appelnotedebasdep"/>
          <w:sz w:val="20"/>
          <w:szCs w:val="20"/>
        </w:rPr>
        <w:footnoteRef/>
      </w:r>
      <w:r w:rsidRPr="00843F73">
        <w:rPr>
          <w:sz w:val="20"/>
          <w:szCs w:val="20"/>
        </w:rPr>
        <w:t xml:space="preserve"> Voir </w:t>
      </w:r>
      <w:r w:rsidRPr="00843F73">
        <w:rPr>
          <w:rFonts w:eastAsia="Times New Roman"/>
          <w:color w:val="111111"/>
          <w:sz w:val="20"/>
          <w:szCs w:val="20"/>
          <w:shd w:val="clear" w:color="auto" w:fill="FFFFFF"/>
          <w:lang w:eastAsia="fr-CA"/>
        </w:rPr>
        <w:t xml:space="preserve">Hadley Friedland, « </w:t>
      </w:r>
      <w:proofErr w:type="spellStart"/>
      <w:r w:rsidRPr="00843F73">
        <w:rPr>
          <w:rFonts w:eastAsia="Times New Roman"/>
          <w:color w:val="111111"/>
          <w:sz w:val="20"/>
          <w:szCs w:val="20"/>
          <w:shd w:val="clear" w:color="auto" w:fill="FFFFFF"/>
          <w:lang w:eastAsia="fr-CA"/>
        </w:rPr>
        <w:t>Accessing</w:t>
      </w:r>
      <w:proofErr w:type="spellEnd"/>
      <w:r w:rsidRPr="00843F73">
        <w:rPr>
          <w:rFonts w:eastAsia="Times New Roman"/>
          <w:color w:val="111111"/>
          <w:sz w:val="20"/>
          <w:szCs w:val="20"/>
          <w:shd w:val="clear" w:color="auto" w:fill="FFFFFF"/>
          <w:lang w:eastAsia="fr-CA"/>
        </w:rPr>
        <w:t xml:space="preserve"> Justice and </w:t>
      </w:r>
      <w:proofErr w:type="spellStart"/>
      <w:r w:rsidRPr="00843F73">
        <w:rPr>
          <w:rFonts w:eastAsia="Times New Roman"/>
          <w:color w:val="111111"/>
          <w:sz w:val="20"/>
          <w:szCs w:val="20"/>
          <w:shd w:val="clear" w:color="auto" w:fill="FFFFFF"/>
          <w:lang w:eastAsia="fr-CA"/>
        </w:rPr>
        <w:t>Reconciliation</w:t>
      </w:r>
      <w:proofErr w:type="spellEnd"/>
      <w:r w:rsidRPr="00843F73">
        <w:rPr>
          <w:rFonts w:eastAsia="Times New Roman"/>
          <w:color w:val="111111"/>
          <w:sz w:val="20"/>
          <w:szCs w:val="20"/>
          <w:shd w:val="clear" w:color="auto" w:fill="FFFFFF"/>
          <w:lang w:eastAsia="fr-CA"/>
        </w:rPr>
        <w:t xml:space="preserve"> – Cree </w:t>
      </w:r>
      <w:proofErr w:type="spellStart"/>
      <w:r w:rsidRPr="00843F73">
        <w:rPr>
          <w:rFonts w:eastAsia="Times New Roman"/>
          <w:color w:val="111111"/>
          <w:sz w:val="20"/>
          <w:szCs w:val="20"/>
          <w:shd w:val="clear" w:color="auto" w:fill="FFFFFF"/>
          <w:lang w:eastAsia="fr-CA"/>
        </w:rPr>
        <w:t>Legal</w:t>
      </w:r>
      <w:proofErr w:type="spellEnd"/>
      <w:r w:rsidRPr="00843F73">
        <w:rPr>
          <w:rFonts w:eastAsia="Times New Roman"/>
          <w:color w:val="111111"/>
          <w:sz w:val="20"/>
          <w:szCs w:val="20"/>
          <w:shd w:val="clear" w:color="auto" w:fill="FFFFFF"/>
          <w:lang w:eastAsia="fr-CA"/>
        </w:rPr>
        <w:t xml:space="preserve"> Traditions Report » (</w:t>
      </w:r>
      <w:r w:rsidR="00F757A7" w:rsidRPr="00843F73">
        <w:rPr>
          <w:color w:val="111111"/>
          <w:sz w:val="20"/>
          <w:szCs w:val="20"/>
          <w:shd w:val="clear" w:color="auto" w:fill="FFFFFF"/>
          <w:lang w:eastAsia="fr-CA"/>
        </w:rPr>
        <w:t>2012) à la p 52, en ligne (</w:t>
      </w:r>
      <w:proofErr w:type="spellStart"/>
      <w:r w:rsidR="00F757A7" w:rsidRPr="00843F73">
        <w:rPr>
          <w:color w:val="111111"/>
          <w:sz w:val="20"/>
          <w:szCs w:val="20"/>
          <w:shd w:val="clear" w:color="auto" w:fill="FFFFFF"/>
          <w:lang w:eastAsia="fr-CA"/>
        </w:rPr>
        <w:t>pdf</w:t>
      </w:r>
      <w:proofErr w:type="spellEnd"/>
      <w:r w:rsidR="00F757A7" w:rsidRPr="00843F73">
        <w:rPr>
          <w:color w:val="111111"/>
          <w:sz w:val="20"/>
          <w:szCs w:val="20"/>
          <w:shd w:val="clear" w:color="auto" w:fill="FFFFFF"/>
          <w:lang w:eastAsia="fr-CA"/>
        </w:rPr>
        <w:t xml:space="preserve">) : </w:t>
      </w:r>
      <w:r w:rsidRPr="00843F73">
        <w:rPr>
          <w:rFonts w:eastAsia="Times New Roman"/>
          <w:color w:val="111111"/>
          <w:sz w:val="20"/>
          <w:szCs w:val="20"/>
          <w:shd w:val="clear" w:color="auto" w:fill="FFFFFF"/>
          <w:lang w:eastAsia="fr-CA"/>
        </w:rPr>
        <w:t>&lt;cerp.gouv.qc.ca/fileadmin/Fichiers_clients/Documents_deposes_a_la_Commission/P-267.pdf&gt;.</w:t>
      </w:r>
    </w:p>
  </w:footnote>
  <w:footnote w:id="20">
    <w:p w14:paraId="65B75E48" w14:textId="612C0603" w:rsidR="00ED6815" w:rsidRPr="00843F73" w:rsidRDefault="00ED6815" w:rsidP="00B21B03">
      <w:pPr>
        <w:pStyle w:val="Notedebasdepage"/>
        <w:ind w:left="142" w:hanging="142"/>
        <w:rPr>
          <w:sz w:val="20"/>
          <w:szCs w:val="20"/>
          <w:lang w:val="en-US"/>
        </w:rPr>
      </w:pPr>
      <w:r w:rsidRPr="00843F73">
        <w:rPr>
          <w:rStyle w:val="Appelnotedebasdep"/>
          <w:sz w:val="20"/>
          <w:szCs w:val="20"/>
        </w:rPr>
        <w:footnoteRef/>
      </w:r>
      <w:r w:rsidR="00A21FA4" w:rsidRPr="004E66DF">
        <w:rPr>
          <w:sz w:val="20"/>
          <w:szCs w:val="20"/>
          <w:lang w:val="en-US"/>
        </w:rPr>
        <w:t xml:space="preserve"> </w:t>
      </w:r>
      <w:proofErr w:type="spellStart"/>
      <w:r w:rsidRPr="00843F73">
        <w:rPr>
          <w:sz w:val="20"/>
          <w:szCs w:val="20"/>
          <w:lang w:val="en-US"/>
        </w:rPr>
        <w:t>Voir</w:t>
      </w:r>
      <w:proofErr w:type="spellEnd"/>
      <w:r w:rsidRPr="00843F73">
        <w:rPr>
          <w:sz w:val="20"/>
          <w:szCs w:val="20"/>
          <w:lang w:val="en-US"/>
        </w:rPr>
        <w:t xml:space="preserve"> Halsbury’s Laws of Canada (</w:t>
      </w:r>
      <w:proofErr w:type="spellStart"/>
      <w:r w:rsidRPr="00843F73">
        <w:rPr>
          <w:sz w:val="20"/>
          <w:szCs w:val="20"/>
          <w:lang w:val="en-US"/>
        </w:rPr>
        <w:t>en</w:t>
      </w:r>
      <w:proofErr w:type="spellEnd"/>
      <w:r w:rsidRPr="00843F73">
        <w:rPr>
          <w:sz w:val="20"/>
          <w:szCs w:val="20"/>
          <w:lang w:val="en-US"/>
        </w:rPr>
        <w:t xml:space="preserve"> </w:t>
      </w:r>
      <w:proofErr w:type="spellStart"/>
      <w:r w:rsidRPr="00843F73">
        <w:rPr>
          <w:sz w:val="20"/>
          <w:szCs w:val="20"/>
          <w:lang w:val="en-US"/>
        </w:rPr>
        <w:t>ligne</w:t>
      </w:r>
      <w:proofErr w:type="spellEnd"/>
      <w:r w:rsidRPr="00843F73">
        <w:rPr>
          <w:sz w:val="20"/>
          <w:szCs w:val="20"/>
          <w:lang w:val="en-US"/>
        </w:rPr>
        <w:t>),</w:t>
      </w:r>
      <w:r w:rsidRPr="00843F73">
        <w:rPr>
          <w:i/>
          <w:iCs/>
          <w:sz w:val="20"/>
          <w:szCs w:val="20"/>
          <w:lang w:val="en-US"/>
        </w:rPr>
        <w:t xml:space="preserve"> Settlement of International Disputes, </w:t>
      </w:r>
      <w:r w:rsidR="00A21FA4" w:rsidRPr="00843F73">
        <w:rPr>
          <w:rFonts w:eastAsia="Times New Roman"/>
          <w:color w:val="111111"/>
          <w:sz w:val="20"/>
          <w:szCs w:val="20"/>
          <w:shd w:val="clear" w:color="auto" w:fill="FFFFFF"/>
          <w:lang w:val="en-US" w:eastAsia="fr-CA"/>
        </w:rPr>
        <w:t>«</w:t>
      </w:r>
      <w:r w:rsidR="00A21FA4" w:rsidRPr="004E66DF">
        <w:rPr>
          <w:color w:val="111111"/>
          <w:sz w:val="20"/>
          <w:szCs w:val="20"/>
          <w:shd w:val="clear" w:color="auto" w:fill="FFFFFF"/>
          <w:lang w:val="en-US" w:eastAsia="fr-CA"/>
        </w:rPr>
        <w:t xml:space="preserve"> </w:t>
      </w:r>
      <w:r w:rsidRPr="00843F73">
        <w:rPr>
          <w:sz w:val="20"/>
          <w:szCs w:val="20"/>
          <w:lang w:val="en-US"/>
        </w:rPr>
        <w:t>The International: Organization and Proceedings Before the Court</w:t>
      </w:r>
      <w:r w:rsidR="00A21FA4" w:rsidRPr="004E66DF">
        <w:rPr>
          <w:sz w:val="20"/>
          <w:szCs w:val="20"/>
          <w:lang w:val="en-US"/>
        </w:rPr>
        <w:t xml:space="preserve"> </w:t>
      </w:r>
      <w:r w:rsidR="00A21FA4" w:rsidRPr="00843F73">
        <w:rPr>
          <w:rFonts w:eastAsia="Times New Roman"/>
          <w:color w:val="111111"/>
          <w:sz w:val="20"/>
          <w:szCs w:val="20"/>
          <w:shd w:val="clear" w:color="auto" w:fill="FFFFFF"/>
          <w:lang w:val="en-US" w:eastAsia="fr-CA"/>
        </w:rPr>
        <w:t>»</w:t>
      </w:r>
      <w:r w:rsidRPr="00843F73">
        <w:rPr>
          <w:sz w:val="20"/>
          <w:szCs w:val="20"/>
          <w:lang w:val="en-US"/>
        </w:rPr>
        <w:t xml:space="preserve"> (IX.</w:t>
      </w:r>
      <w:proofErr w:type="gramStart"/>
      <w:r w:rsidRPr="00843F73">
        <w:rPr>
          <w:sz w:val="20"/>
          <w:szCs w:val="20"/>
          <w:lang w:val="en-US"/>
        </w:rPr>
        <w:t>4.(</w:t>
      </w:r>
      <w:proofErr w:type="gramEnd"/>
      <w:r w:rsidRPr="00843F73">
        <w:rPr>
          <w:sz w:val="20"/>
          <w:szCs w:val="20"/>
          <w:lang w:val="en-US"/>
        </w:rPr>
        <w:t xml:space="preserve">2)) </w:t>
      </w:r>
      <w:proofErr w:type="spellStart"/>
      <w:r w:rsidRPr="00843F73">
        <w:rPr>
          <w:sz w:val="20"/>
          <w:szCs w:val="20"/>
          <w:lang w:val="en-US"/>
        </w:rPr>
        <w:t>dans</w:t>
      </w:r>
      <w:proofErr w:type="spellEnd"/>
      <w:r w:rsidRPr="00843F73">
        <w:rPr>
          <w:sz w:val="20"/>
          <w:szCs w:val="20"/>
          <w:lang w:val="en-US"/>
        </w:rPr>
        <w:t xml:space="preserve"> HPI-117 </w:t>
      </w:r>
      <w:r w:rsidR="00A21FA4" w:rsidRPr="00843F73">
        <w:rPr>
          <w:rFonts w:eastAsia="Times New Roman"/>
          <w:color w:val="111111"/>
          <w:sz w:val="20"/>
          <w:szCs w:val="20"/>
          <w:shd w:val="clear" w:color="auto" w:fill="FFFFFF"/>
          <w:lang w:val="en-US" w:eastAsia="fr-CA"/>
        </w:rPr>
        <w:t>«</w:t>
      </w:r>
      <w:r w:rsidR="00A21FA4" w:rsidRPr="00843F73">
        <w:rPr>
          <w:color w:val="111111"/>
          <w:sz w:val="20"/>
          <w:szCs w:val="20"/>
          <w:shd w:val="clear" w:color="auto" w:fill="FFFFFF"/>
          <w:lang w:val="en-US" w:eastAsia="fr-CA"/>
        </w:rPr>
        <w:t xml:space="preserve"> </w:t>
      </w:r>
      <w:r w:rsidRPr="00843F73">
        <w:rPr>
          <w:sz w:val="20"/>
          <w:szCs w:val="20"/>
          <w:lang w:val="en-US"/>
        </w:rPr>
        <w:t>Public International Law</w:t>
      </w:r>
      <w:r w:rsidR="00A21FA4" w:rsidRPr="004E66DF">
        <w:rPr>
          <w:sz w:val="20"/>
          <w:szCs w:val="20"/>
          <w:lang w:val="en-US"/>
        </w:rPr>
        <w:t xml:space="preserve"> </w:t>
      </w:r>
      <w:r w:rsidR="00A21FA4" w:rsidRPr="00843F73">
        <w:rPr>
          <w:rFonts w:eastAsia="Times New Roman"/>
          <w:color w:val="111111"/>
          <w:sz w:val="20"/>
          <w:szCs w:val="20"/>
          <w:shd w:val="clear" w:color="auto" w:fill="FFFFFF"/>
          <w:lang w:val="en-US" w:eastAsia="fr-CA"/>
        </w:rPr>
        <w:t>»</w:t>
      </w:r>
      <w:r w:rsidR="00A21FA4" w:rsidRPr="004E66DF">
        <w:rPr>
          <w:sz w:val="20"/>
          <w:szCs w:val="20"/>
          <w:lang w:val="en-US"/>
        </w:rPr>
        <w:t xml:space="preserve"> </w:t>
      </w:r>
      <w:r w:rsidRPr="00843F73">
        <w:rPr>
          <w:sz w:val="20"/>
          <w:szCs w:val="20"/>
          <w:lang w:val="en-US"/>
        </w:rPr>
        <w:t xml:space="preserve">(2014 Reissue). </w:t>
      </w:r>
    </w:p>
  </w:footnote>
  <w:footnote w:id="21">
    <w:p w14:paraId="28572CDB" w14:textId="77777777" w:rsidR="00AB3860" w:rsidRPr="00843F73" w:rsidRDefault="00AB3860" w:rsidP="00B21B03">
      <w:pPr>
        <w:pStyle w:val="Notedebasdepage"/>
        <w:ind w:left="142" w:hanging="142"/>
        <w:rPr>
          <w:sz w:val="20"/>
          <w:szCs w:val="20"/>
          <w:lang w:val="fr-CA"/>
        </w:rPr>
      </w:pPr>
      <w:r w:rsidRPr="00843F73">
        <w:rPr>
          <w:rStyle w:val="Appelnotedebasdep"/>
          <w:sz w:val="20"/>
          <w:szCs w:val="20"/>
        </w:rPr>
        <w:footnoteRef/>
      </w:r>
      <w:r w:rsidRPr="00843F73">
        <w:rPr>
          <w:sz w:val="20"/>
          <w:szCs w:val="20"/>
        </w:rPr>
        <w:t xml:space="preserve"> Voir </w:t>
      </w:r>
      <w:r w:rsidRPr="00843F73">
        <w:rPr>
          <w:i/>
          <w:sz w:val="20"/>
          <w:szCs w:val="20"/>
        </w:rPr>
        <w:t>Charte des Nations Unies ; Statut de la Cour internationale de justice</w:t>
      </w:r>
      <w:r w:rsidRPr="00843F73">
        <w:rPr>
          <w:sz w:val="20"/>
          <w:szCs w:val="20"/>
        </w:rPr>
        <w:t>, 18 avril 1946, 33 UNTS 993 à</w:t>
      </w:r>
      <w:r w:rsidRPr="00843F73">
        <w:rPr>
          <w:sz w:val="20"/>
          <w:szCs w:val="20"/>
          <w:lang w:val="fr-CA"/>
        </w:rPr>
        <w:t xml:space="preserve"> l’art 31 [</w:t>
      </w:r>
      <w:r w:rsidRPr="00843F73">
        <w:rPr>
          <w:i/>
          <w:sz w:val="20"/>
          <w:szCs w:val="20"/>
          <w:lang w:val="fr-CA"/>
        </w:rPr>
        <w:t>Charte</w:t>
      </w:r>
      <w:r w:rsidRPr="00843F73">
        <w:rPr>
          <w:sz w:val="20"/>
          <w:szCs w:val="20"/>
          <w:lang w:val="fr-CA"/>
        </w:rPr>
        <w:t xml:space="preserve">].  </w:t>
      </w:r>
    </w:p>
  </w:footnote>
  <w:footnote w:id="22">
    <w:p w14:paraId="3360A6A6" w14:textId="77777777" w:rsidR="00AB3860" w:rsidRPr="00843F73" w:rsidRDefault="00AB3860" w:rsidP="00B21B03">
      <w:pPr>
        <w:pStyle w:val="Notedebasdepage"/>
        <w:rPr>
          <w:sz w:val="20"/>
          <w:szCs w:val="20"/>
        </w:rPr>
      </w:pPr>
      <w:r w:rsidRPr="00843F73">
        <w:rPr>
          <w:rStyle w:val="Appelnotedebasdep"/>
          <w:sz w:val="20"/>
          <w:szCs w:val="20"/>
        </w:rPr>
        <w:footnoteRef/>
      </w:r>
      <w:r w:rsidRPr="00843F73">
        <w:rPr>
          <w:sz w:val="20"/>
          <w:szCs w:val="20"/>
        </w:rPr>
        <w:t xml:space="preserve"> </w:t>
      </w:r>
      <w:proofErr w:type="spellStart"/>
      <w:r w:rsidRPr="00843F73">
        <w:rPr>
          <w:i/>
          <w:sz w:val="20"/>
          <w:szCs w:val="20"/>
        </w:rPr>
        <w:t>Ibid</w:t>
      </w:r>
      <w:proofErr w:type="spellEnd"/>
      <w:r w:rsidRPr="00843F73">
        <w:rPr>
          <w:sz w:val="20"/>
          <w:szCs w:val="20"/>
        </w:rPr>
        <w:t xml:space="preserve">, art 25. </w:t>
      </w:r>
    </w:p>
  </w:footnote>
  <w:footnote w:id="23">
    <w:p w14:paraId="1DE60706" w14:textId="77777777" w:rsidR="00AB3860" w:rsidRPr="00843F73" w:rsidRDefault="00AB3860" w:rsidP="00B21B03">
      <w:pPr>
        <w:pStyle w:val="Notedebasdepage"/>
        <w:rPr>
          <w:sz w:val="20"/>
          <w:szCs w:val="20"/>
        </w:rPr>
      </w:pPr>
      <w:r w:rsidRPr="00843F73">
        <w:rPr>
          <w:rStyle w:val="Appelnotedebasdep"/>
          <w:sz w:val="20"/>
          <w:szCs w:val="20"/>
        </w:rPr>
        <w:footnoteRef/>
      </w:r>
      <w:r w:rsidRPr="00843F73">
        <w:rPr>
          <w:sz w:val="20"/>
          <w:szCs w:val="20"/>
        </w:rPr>
        <w:t xml:space="preserve"> </w:t>
      </w:r>
      <w:proofErr w:type="spellStart"/>
      <w:r w:rsidRPr="00843F73">
        <w:rPr>
          <w:i/>
          <w:sz w:val="20"/>
          <w:szCs w:val="20"/>
        </w:rPr>
        <w:t>Ibid</w:t>
      </w:r>
      <w:proofErr w:type="spellEnd"/>
      <w:r w:rsidRPr="00843F73">
        <w:rPr>
          <w:sz w:val="20"/>
          <w:szCs w:val="20"/>
        </w:rPr>
        <w:t xml:space="preserve">, art 31. </w:t>
      </w:r>
    </w:p>
  </w:footnote>
  <w:footnote w:id="24">
    <w:p w14:paraId="1CA8270E" w14:textId="2359A521" w:rsidR="00AB3860" w:rsidRPr="00843F73" w:rsidRDefault="00AB3860" w:rsidP="00B21B03">
      <w:pPr>
        <w:pStyle w:val="Notedebasdepage"/>
        <w:rPr>
          <w:sz w:val="20"/>
          <w:szCs w:val="20"/>
          <w:lang w:val="fr-CA"/>
        </w:rPr>
      </w:pPr>
      <w:r w:rsidRPr="00843F73">
        <w:rPr>
          <w:rStyle w:val="Appelnotedebasdep"/>
          <w:sz w:val="20"/>
          <w:szCs w:val="20"/>
        </w:rPr>
        <w:footnoteRef/>
      </w:r>
      <w:r w:rsidRPr="00843F73">
        <w:rPr>
          <w:sz w:val="20"/>
          <w:szCs w:val="20"/>
        </w:rPr>
        <w:t xml:space="preserve"> Voir Nicolas </w:t>
      </w:r>
      <w:proofErr w:type="spellStart"/>
      <w:r w:rsidRPr="00843F73">
        <w:rPr>
          <w:sz w:val="20"/>
          <w:szCs w:val="20"/>
        </w:rPr>
        <w:t>Valticos</w:t>
      </w:r>
      <w:proofErr w:type="spellEnd"/>
      <w:r w:rsidRPr="00843F73">
        <w:rPr>
          <w:sz w:val="20"/>
          <w:szCs w:val="20"/>
        </w:rPr>
        <w:t>, « L’</w:t>
      </w:r>
      <w:r w:rsidR="00B21B03">
        <w:rPr>
          <w:sz w:val="20"/>
          <w:szCs w:val="20"/>
        </w:rPr>
        <w:t>É</w:t>
      </w:r>
      <w:r w:rsidRPr="00843F73">
        <w:rPr>
          <w:sz w:val="20"/>
          <w:szCs w:val="20"/>
        </w:rPr>
        <w:t xml:space="preserve">volution de la Notion de Juge ad Hoc » (1997) 50 R </w:t>
      </w:r>
      <w:proofErr w:type="spellStart"/>
      <w:r w:rsidRPr="00843F73">
        <w:rPr>
          <w:sz w:val="20"/>
          <w:szCs w:val="20"/>
        </w:rPr>
        <w:t>Hellenique</w:t>
      </w:r>
      <w:proofErr w:type="spellEnd"/>
      <w:r w:rsidRPr="00843F73">
        <w:rPr>
          <w:sz w:val="20"/>
          <w:szCs w:val="20"/>
        </w:rPr>
        <w:t xml:space="preserve"> Dr </w:t>
      </w:r>
      <w:proofErr w:type="spellStart"/>
      <w:r w:rsidRPr="00843F73">
        <w:rPr>
          <w:sz w:val="20"/>
          <w:szCs w:val="20"/>
        </w:rPr>
        <w:t>Intl</w:t>
      </w:r>
      <w:proofErr w:type="spellEnd"/>
      <w:r w:rsidRPr="00843F73">
        <w:rPr>
          <w:sz w:val="20"/>
          <w:szCs w:val="20"/>
        </w:rPr>
        <w:t xml:space="preserve"> 1 à la p 6. </w:t>
      </w:r>
    </w:p>
  </w:footnote>
  <w:footnote w:id="25">
    <w:p w14:paraId="79EF0E90" w14:textId="2B2A3A18" w:rsidR="00AB3860" w:rsidRPr="00843F73" w:rsidRDefault="00AB3860" w:rsidP="00B21B03">
      <w:pPr>
        <w:pStyle w:val="Notedebasdepage"/>
        <w:rPr>
          <w:sz w:val="20"/>
          <w:szCs w:val="20"/>
        </w:rPr>
      </w:pPr>
      <w:r w:rsidRPr="00843F73">
        <w:rPr>
          <w:rStyle w:val="Appelnotedebasdep"/>
          <w:sz w:val="20"/>
          <w:szCs w:val="20"/>
        </w:rPr>
        <w:footnoteRef/>
      </w:r>
      <w:r w:rsidRPr="00843F73">
        <w:rPr>
          <w:sz w:val="20"/>
          <w:szCs w:val="20"/>
        </w:rPr>
        <w:t xml:space="preserve"> </w:t>
      </w:r>
      <w:r w:rsidRPr="00843F73">
        <w:rPr>
          <w:i/>
          <w:sz w:val="20"/>
          <w:szCs w:val="20"/>
        </w:rPr>
        <w:t>Charte</w:t>
      </w:r>
      <w:r w:rsidRPr="00843F73">
        <w:rPr>
          <w:sz w:val="20"/>
          <w:szCs w:val="20"/>
        </w:rPr>
        <w:t xml:space="preserve">, </w:t>
      </w:r>
      <w:r w:rsidRPr="00843F73">
        <w:rPr>
          <w:i/>
          <w:sz w:val="20"/>
          <w:szCs w:val="20"/>
        </w:rPr>
        <w:t>supra</w:t>
      </w:r>
      <w:r w:rsidRPr="00843F73">
        <w:rPr>
          <w:sz w:val="20"/>
          <w:szCs w:val="20"/>
        </w:rPr>
        <w:t xml:space="preserve"> note </w:t>
      </w:r>
      <w:r w:rsidR="00843F73">
        <w:rPr>
          <w:sz w:val="20"/>
          <w:szCs w:val="20"/>
        </w:rPr>
        <w:t>21</w:t>
      </w:r>
      <w:r w:rsidRPr="00843F73">
        <w:rPr>
          <w:sz w:val="20"/>
          <w:szCs w:val="20"/>
        </w:rPr>
        <w:t xml:space="preserve"> à l’art 26(2). </w:t>
      </w:r>
    </w:p>
  </w:footnote>
  <w:footnote w:id="26">
    <w:p w14:paraId="630E9948" w14:textId="77777777" w:rsidR="00AB3860" w:rsidRPr="00843F73" w:rsidRDefault="00AB3860" w:rsidP="00257C1F">
      <w:pPr>
        <w:pStyle w:val="Notedebasdepage"/>
        <w:ind w:left="142" w:hanging="142"/>
        <w:rPr>
          <w:sz w:val="20"/>
          <w:szCs w:val="20"/>
          <w:lang w:val="fr-CA"/>
        </w:rPr>
      </w:pPr>
      <w:r w:rsidRPr="00843F73">
        <w:rPr>
          <w:rStyle w:val="Appelnotedebasdep"/>
          <w:sz w:val="20"/>
          <w:szCs w:val="20"/>
        </w:rPr>
        <w:footnoteRef/>
      </w:r>
      <w:r w:rsidRPr="00843F73">
        <w:rPr>
          <w:sz w:val="20"/>
          <w:szCs w:val="20"/>
        </w:rPr>
        <w:t xml:space="preserve"> Voir André Oraison, « Réflexions sur l’Institution du Juge Ad Hoc Siégeant au Tribunal au Palais de la Paix en Séance Plénière ou en Chambre Ad Hoc » (1998) 31 R Belge Dr </w:t>
      </w:r>
      <w:proofErr w:type="spellStart"/>
      <w:r w:rsidRPr="00843F73">
        <w:rPr>
          <w:sz w:val="20"/>
          <w:szCs w:val="20"/>
        </w:rPr>
        <w:t>Intl</w:t>
      </w:r>
      <w:proofErr w:type="spellEnd"/>
      <w:r w:rsidRPr="00843F73">
        <w:rPr>
          <w:sz w:val="20"/>
          <w:szCs w:val="20"/>
        </w:rPr>
        <w:t xml:space="preserve"> 272 à la p 290. </w:t>
      </w:r>
    </w:p>
  </w:footnote>
  <w:footnote w:id="27">
    <w:p w14:paraId="2EBC47FB" w14:textId="43EF129D" w:rsidR="00C77C45" w:rsidRPr="00843F73" w:rsidRDefault="00C77C45" w:rsidP="00257C1F">
      <w:pPr>
        <w:pStyle w:val="Notedebasdepage"/>
        <w:ind w:left="142" w:hanging="142"/>
        <w:rPr>
          <w:sz w:val="20"/>
          <w:szCs w:val="20"/>
        </w:rPr>
      </w:pPr>
      <w:r w:rsidRPr="00843F73">
        <w:rPr>
          <w:rStyle w:val="Appelnotedebasdep"/>
          <w:sz w:val="20"/>
          <w:szCs w:val="20"/>
        </w:rPr>
        <w:footnoteRef/>
      </w:r>
      <w:r w:rsidRPr="00843F73">
        <w:rPr>
          <w:sz w:val="20"/>
          <w:szCs w:val="20"/>
        </w:rPr>
        <w:t xml:space="preserve"> </w:t>
      </w:r>
      <w:r w:rsidR="00BD1875" w:rsidRPr="00843F73">
        <w:rPr>
          <w:sz w:val="20"/>
          <w:szCs w:val="20"/>
        </w:rPr>
        <w:t xml:space="preserve">Voir </w:t>
      </w:r>
      <w:r w:rsidRPr="00843F73">
        <w:rPr>
          <w:sz w:val="20"/>
          <w:szCs w:val="20"/>
        </w:rPr>
        <w:t xml:space="preserve">« À propos de la Cour : Composition » (dernière consultation le 6 février 2019), en ligne : </w:t>
      </w:r>
      <w:r w:rsidRPr="00257C1F">
        <w:rPr>
          <w:i/>
          <w:sz w:val="20"/>
          <w:szCs w:val="20"/>
        </w:rPr>
        <w:t>Cour d’appel du Québec</w:t>
      </w:r>
      <w:r w:rsidRPr="00843F73">
        <w:rPr>
          <w:sz w:val="20"/>
          <w:szCs w:val="20"/>
        </w:rPr>
        <w:t xml:space="preserve"> &lt;courdappelduquebec.ca/a-propos-de-la-cour/composition/&gt;</w:t>
      </w:r>
      <w:r w:rsidR="002A2BE5">
        <w:rPr>
          <w:sz w:val="20"/>
          <w:szCs w:val="20"/>
        </w:rPr>
        <w:t>.</w:t>
      </w:r>
    </w:p>
  </w:footnote>
  <w:footnote w:id="28">
    <w:p w14:paraId="63AFDC37" w14:textId="52246F85" w:rsidR="0072779F" w:rsidRPr="00164D3A" w:rsidRDefault="0072779F" w:rsidP="00257C1F">
      <w:pPr>
        <w:rPr>
          <w:sz w:val="20"/>
        </w:rPr>
      </w:pPr>
      <w:r w:rsidRPr="00164D3A">
        <w:rPr>
          <w:rStyle w:val="Appelnotedebasdep"/>
          <w:sz w:val="20"/>
        </w:rPr>
        <w:footnoteRef/>
      </w:r>
      <w:r w:rsidRPr="00164D3A">
        <w:rPr>
          <w:sz w:val="20"/>
        </w:rPr>
        <w:t xml:space="preserve"> </w:t>
      </w:r>
      <w:r w:rsidR="00164D3A">
        <w:rPr>
          <w:i/>
          <w:sz w:val="20"/>
        </w:rPr>
        <w:t>Ibid</w:t>
      </w:r>
      <w:r w:rsidRPr="00164D3A">
        <w:rPr>
          <w:sz w:val="20"/>
        </w:rPr>
        <w:t>.</w:t>
      </w:r>
    </w:p>
  </w:footnote>
  <w:footnote w:id="29">
    <w:p w14:paraId="1EF63D74" w14:textId="29779F89" w:rsidR="0072779F" w:rsidRPr="00164D3A" w:rsidRDefault="0072779F" w:rsidP="00257C1F">
      <w:pPr>
        <w:ind w:left="142" w:hanging="142"/>
        <w:rPr>
          <w:sz w:val="20"/>
        </w:rPr>
      </w:pPr>
      <w:r w:rsidRPr="00164D3A">
        <w:rPr>
          <w:rStyle w:val="Appelnotedebasdep"/>
          <w:sz w:val="20"/>
        </w:rPr>
        <w:footnoteRef/>
      </w:r>
      <w:r w:rsidRPr="00164D3A">
        <w:rPr>
          <w:sz w:val="20"/>
        </w:rPr>
        <w:t xml:space="preserve"> </w:t>
      </w:r>
      <w:r w:rsidR="00BD1875" w:rsidRPr="00164D3A">
        <w:rPr>
          <w:sz w:val="20"/>
        </w:rPr>
        <w:t xml:space="preserve">Voir </w:t>
      </w:r>
      <w:r w:rsidRPr="00164D3A">
        <w:rPr>
          <w:sz w:val="20"/>
        </w:rPr>
        <w:t xml:space="preserve">« Série ‘Perspective géographique’, Recensement de 2016 » (dernière modification le 29 avril 2017), en ligne : </w:t>
      </w:r>
      <w:r w:rsidRPr="0013005F">
        <w:rPr>
          <w:i/>
          <w:sz w:val="20"/>
        </w:rPr>
        <w:t>Statistiques Canada</w:t>
      </w:r>
      <w:r w:rsidRPr="00164D3A">
        <w:rPr>
          <w:sz w:val="20"/>
        </w:rPr>
        <w:t xml:space="preserve"> &lt;</w:t>
      </w:r>
      <w:proofErr w:type="gramStart"/>
      <w:r w:rsidRPr="00164D3A">
        <w:rPr>
          <w:sz w:val="20"/>
        </w:rPr>
        <w:t>statcan.gc.ca/census-recensement/2016/as-sa/fogs-spg/Facts-pr-fra.cfm?LANG</w:t>
      </w:r>
      <w:proofErr w:type="gramEnd"/>
      <w:r w:rsidRPr="00164D3A">
        <w:rPr>
          <w:sz w:val="20"/>
        </w:rPr>
        <w:t>=Fra&amp;GK=PR&amp;GC=24&amp;TOPIC=9&gt;.</w:t>
      </w:r>
    </w:p>
  </w:footnote>
  <w:footnote w:id="30">
    <w:p w14:paraId="227E46F3" w14:textId="3CDBE9EA" w:rsidR="00090187" w:rsidRPr="00164D3A" w:rsidRDefault="00090187" w:rsidP="00564C16">
      <w:pPr>
        <w:pStyle w:val="Notedebasdepage"/>
        <w:ind w:left="142" w:hanging="142"/>
        <w:rPr>
          <w:sz w:val="20"/>
        </w:rPr>
      </w:pPr>
      <w:r w:rsidRPr="00164D3A">
        <w:rPr>
          <w:rStyle w:val="Appelnotedebasdep"/>
          <w:sz w:val="20"/>
        </w:rPr>
        <w:footnoteRef/>
      </w:r>
      <w:r w:rsidRPr="00164D3A">
        <w:rPr>
          <w:sz w:val="20"/>
        </w:rPr>
        <w:t xml:space="preserve"> </w:t>
      </w:r>
      <w:r w:rsidR="00BD1875" w:rsidRPr="00164D3A">
        <w:rPr>
          <w:sz w:val="20"/>
        </w:rPr>
        <w:t xml:space="preserve">Voir </w:t>
      </w:r>
      <w:r w:rsidR="009D3A5F" w:rsidRPr="00164D3A">
        <w:rPr>
          <w:sz w:val="20"/>
        </w:rPr>
        <w:t xml:space="preserve">« Qualifications et critères d’évaluation » (dernière modification le 14 juillet 2017), en ligne : </w:t>
      </w:r>
      <w:r w:rsidR="009D3A5F" w:rsidRPr="00564C16">
        <w:rPr>
          <w:i/>
          <w:sz w:val="20"/>
        </w:rPr>
        <w:t>Commissariat à la magistrature fédérale Canada</w:t>
      </w:r>
      <w:r w:rsidR="009D3A5F" w:rsidRPr="00164D3A">
        <w:rPr>
          <w:sz w:val="20"/>
        </w:rPr>
        <w:t xml:space="preserve"> &lt;fja-cmf.gc.ca/</w:t>
      </w:r>
      <w:proofErr w:type="spellStart"/>
      <w:r w:rsidR="009D3A5F" w:rsidRPr="00164D3A">
        <w:rPr>
          <w:sz w:val="20"/>
        </w:rPr>
        <w:t>scc-csc</w:t>
      </w:r>
      <w:proofErr w:type="spellEnd"/>
      <w:r w:rsidR="009D3A5F" w:rsidRPr="00164D3A">
        <w:rPr>
          <w:sz w:val="20"/>
        </w:rPr>
        <w:t>/qualifications-fra.html&gt;.</w:t>
      </w:r>
    </w:p>
  </w:footnote>
  <w:footnote w:id="31">
    <w:p w14:paraId="366ED6DB" w14:textId="05E02BE4" w:rsidR="00BD1875" w:rsidRPr="00BD1875" w:rsidRDefault="00BD1875" w:rsidP="00564C16">
      <w:pPr>
        <w:ind w:left="142" w:hanging="142"/>
      </w:pPr>
      <w:r w:rsidRPr="00164D3A">
        <w:rPr>
          <w:rStyle w:val="Appelnotedebasdep"/>
          <w:sz w:val="20"/>
        </w:rPr>
        <w:footnoteRef/>
      </w:r>
      <w:r w:rsidRPr="00164D3A">
        <w:rPr>
          <w:sz w:val="20"/>
        </w:rPr>
        <w:t xml:space="preserve"> Voir « Infractions criminelles » (dernière modification le 24 juillet 2015), en ligne : </w:t>
      </w:r>
      <w:r w:rsidRPr="00564C16">
        <w:rPr>
          <w:i/>
          <w:sz w:val="20"/>
        </w:rPr>
        <w:t>Ministère de la Justice</w:t>
      </w:r>
      <w:r w:rsidRPr="00164D3A">
        <w:rPr>
          <w:sz w:val="20"/>
        </w:rPr>
        <w:t xml:space="preserve"> &lt;justice.gc.ca/fra/jp-cj/victimes-victims/tribunaux-court/infractions-offences.html&gt;.</w:t>
      </w:r>
    </w:p>
  </w:footnote>
  <w:footnote w:id="32">
    <w:p w14:paraId="3062FA1B" w14:textId="345C0AB1" w:rsidR="00BD1875" w:rsidRPr="00961153" w:rsidRDefault="00BD1875" w:rsidP="00564C16">
      <w:pPr>
        <w:ind w:left="142" w:hanging="142"/>
        <w:rPr>
          <w:sz w:val="20"/>
        </w:rPr>
      </w:pPr>
      <w:r w:rsidRPr="00961153">
        <w:rPr>
          <w:rStyle w:val="Appelnotedebasdep"/>
          <w:sz w:val="20"/>
        </w:rPr>
        <w:footnoteRef/>
      </w:r>
      <w:r w:rsidRPr="00961153">
        <w:rPr>
          <w:sz w:val="20"/>
        </w:rPr>
        <w:t xml:space="preserve"> Voir France Allard, « La Cour suprême du Canada et son impact sur l’articulation du </w:t>
      </w:r>
      <w:proofErr w:type="spellStart"/>
      <w:r w:rsidRPr="00961153">
        <w:rPr>
          <w:sz w:val="20"/>
        </w:rPr>
        <w:t>bijuridisme</w:t>
      </w:r>
      <w:proofErr w:type="spellEnd"/>
      <w:r w:rsidRPr="00961153">
        <w:rPr>
          <w:sz w:val="20"/>
        </w:rPr>
        <w:t xml:space="preserve"> » à la p 1, en ligne (</w:t>
      </w:r>
      <w:proofErr w:type="spellStart"/>
      <w:r w:rsidRPr="00961153">
        <w:rPr>
          <w:sz w:val="20"/>
        </w:rPr>
        <w:t>p</w:t>
      </w:r>
      <w:r w:rsidR="00540681" w:rsidRPr="00961153">
        <w:rPr>
          <w:sz w:val="20"/>
        </w:rPr>
        <w:t>df</w:t>
      </w:r>
      <w:proofErr w:type="spellEnd"/>
      <w:r w:rsidR="00540681" w:rsidRPr="00961153">
        <w:rPr>
          <w:sz w:val="20"/>
        </w:rPr>
        <w:t xml:space="preserve">) : </w:t>
      </w:r>
      <w:r w:rsidR="00540681" w:rsidRPr="00564C16">
        <w:rPr>
          <w:i/>
          <w:sz w:val="20"/>
        </w:rPr>
        <w:t>Ministère de la Justice</w:t>
      </w:r>
      <w:r w:rsidR="00540681" w:rsidRPr="00961153">
        <w:rPr>
          <w:sz w:val="20"/>
        </w:rPr>
        <w:t xml:space="preserve"> &lt;</w:t>
      </w:r>
      <w:r w:rsidRPr="00961153">
        <w:rPr>
          <w:sz w:val="20"/>
        </w:rPr>
        <w:t>justice.gc.ca/fra/pr-rp/sjc-csj/harmonization/hlf-hfl/f3-b3/bf3a.pdf&gt;.</w:t>
      </w:r>
    </w:p>
    <w:p w14:paraId="7099B7FF" w14:textId="00198A96" w:rsidR="00BD1875" w:rsidRPr="00961153" w:rsidRDefault="00BD1875">
      <w:pPr>
        <w:pStyle w:val="Notedebasdepage"/>
        <w:rPr>
          <w:sz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1E4E"/>
    <w:multiLevelType w:val="multilevel"/>
    <w:tmpl w:val="B58C6E7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F54BF"/>
    <w:multiLevelType w:val="hybridMultilevel"/>
    <w:tmpl w:val="A1B892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9B4730"/>
    <w:multiLevelType w:val="hybridMultilevel"/>
    <w:tmpl w:val="C16CBDB8"/>
    <w:lvl w:ilvl="0" w:tplc="ECD8BD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A93AA8"/>
    <w:multiLevelType w:val="hybridMultilevel"/>
    <w:tmpl w:val="DE7A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FC290C"/>
    <w:multiLevelType w:val="hybridMultilevel"/>
    <w:tmpl w:val="CCC2D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6B4D1E"/>
    <w:multiLevelType w:val="multilevel"/>
    <w:tmpl w:val="D1368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CC6960"/>
    <w:multiLevelType w:val="multilevel"/>
    <w:tmpl w:val="A568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85475"/>
    <w:multiLevelType w:val="hybridMultilevel"/>
    <w:tmpl w:val="2EF6FD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B3747D"/>
    <w:multiLevelType w:val="multilevel"/>
    <w:tmpl w:val="5F444A9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56290B"/>
    <w:multiLevelType w:val="hybridMultilevel"/>
    <w:tmpl w:val="74F2C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6A39C2"/>
    <w:multiLevelType w:val="hybridMultilevel"/>
    <w:tmpl w:val="221E6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4"/>
  </w:num>
  <w:num w:numId="6">
    <w:abstractNumId w:val="10"/>
  </w:num>
  <w:num w:numId="7">
    <w:abstractNumId w:val="9"/>
  </w:num>
  <w:num w:numId="8">
    <w:abstractNumId w:val="0"/>
  </w:num>
  <w:num w:numId="9">
    <w:abstractNumId w:val="0"/>
    <w:lvlOverride w:ilvl="1">
      <w:lvl w:ilvl="1">
        <w:numFmt w:val="lowerLetter"/>
        <w:lvlText w:val="%2."/>
        <w:lvlJc w:val="left"/>
      </w:lvl>
    </w:lvlOverride>
  </w:num>
  <w:num w:numId="10">
    <w:abstractNumId w:val="8"/>
    <w:lvlOverride w:ilvl="0">
      <w:lvl w:ilvl="0">
        <w:numFmt w:val="decimal"/>
        <w:lvlText w:val="%1."/>
        <w:lvlJc w:val="left"/>
      </w:lvl>
    </w:lvlOverride>
  </w:num>
  <w:num w:numId="11">
    <w:abstractNumId w:val="6"/>
    <w:lvlOverride w:ilvl="0">
      <w:lvl w:ilvl="0">
        <w:numFmt w:val="lowerLetter"/>
        <w:lvlText w:val="%1."/>
        <w:lvlJc w:val="left"/>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DE"/>
    <w:rsid w:val="000145C7"/>
    <w:rsid w:val="00033495"/>
    <w:rsid w:val="00056B67"/>
    <w:rsid w:val="00090187"/>
    <w:rsid w:val="000B799C"/>
    <w:rsid w:val="000D4CA0"/>
    <w:rsid w:val="000D5FC1"/>
    <w:rsid w:val="000F41C0"/>
    <w:rsid w:val="0013005F"/>
    <w:rsid w:val="00130C69"/>
    <w:rsid w:val="001446B5"/>
    <w:rsid w:val="00164D3A"/>
    <w:rsid w:val="00196FEC"/>
    <w:rsid w:val="001A2272"/>
    <w:rsid w:val="001B59DB"/>
    <w:rsid w:val="001C15EA"/>
    <w:rsid w:val="001D0AD7"/>
    <w:rsid w:val="001F4D6F"/>
    <w:rsid w:val="00254560"/>
    <w:rsid w:val="00257C1F"/>
    <w:rsid w:val="00260355"/>
    <w:rsid w:val="002817B4"/>
    <w:rsid w:val="002869F3"/>
    <w:rsid w:val="002A01D3"/>
    <w:rsid w:val="002A03F0"/>
    <w:rsid w:val="002A17FA"/>
    <w:rsid w:val="002A2BE5"/>
    <w:rsid w:val="002A42EF"/>
    <w:rsid w:val="002E28D4"/>
    <w:rsid w:val="00302CA9"/>
    <w:rsid w:val="00366423"/>
    <w:rsid w:val="003748DC"/>
    <w:rsid w:val="003C6160"/>
    <w:rsid w:val="003D4BF7"/>
    <w:rsid w:val="003D7AC2"/>
    <w:rsid w:val="0045725F"/>
    <w:rsid w:val="004705D7"/>
    <w:rsid w:val="00492250"/>
    <w:rsid w:val="004B3072"/>
    <w:rsid w:val="004E336C"/>
    <w:rsid w:val="004E66DF"/>
    <w:rsid w:val="004F4F17"/>
    <w:rsid w:val="00506B9D"/>
    <w:rsid w:val="00540681"/>
    <w:rsid w:val="00546D03"/>
    <w:rsid w:val="00553527"/>
    <w:rsid w:val="00561EFA"/>
    <w:rsid w:val="00563F2A"/>
    <w:rsid w:val="00564C16"/>
    <w:rsid w:val="00566A95"/>
    <w:rsid w:val="005731EC"/>
    <w:rsid w:val="00590093"/>
    <w:rsid w:val="005925E1"/>
    <w:rsid w:val="005A6551"/>
    <w:rsid w:val="005A70E5"/>
    <w:rsid w:val="005D6978"/>
    <w:rsid w:val="005F0718"/>
    <w:rsid w:val="005F2B51"/>
    <w:rsid w:val="005F4575"/>
    <w:rsid w:val="00651803"/>
    <w:rsid w:val="00674BC6"/>
    <w:rsid w:val="00674F7F"/>
    <w:rsid w:val="006965D7"/>
    <w:rsid w:val="006C2874"/>
    <w:rsid w:val="006C6D69"/>
    <w:rsid w:val="006E237D"/>
    <w:rsid w:val="0070005E"/>
    <w:rsid w:val="0070349D"/>
    <w:rsid w:val="0072779F"/>
    <w:rsid w:val="00734443"/>
    <w:rsid w:val="00746279"/>
    <w:rsid w:val="00754F95"/>
    <w:rsid w:val="007B1E62"/>
    <w:rsid w:val="007B2F6B"/>
    <w:rsid w:val="007E732C"/>
    <w:rsid w:val="007F3B27"/>
    <w:rsid w:val="00824EB9"/>
    <w:rsid w:val="00842DF0"/>
    <w:rsid w:val="00843F73"/>
    <w:rsid w:val="008450EF"/>
    <w:rsid w:val="00864C3A"/>
    <w:rsid w:val="008721CF"/>
    <w:rsid w:val="008E4104"/>
    <w:rsid w:val="008F41B5"/>
    <w:rsid w:val="00916FF9"/>
    <w:rsid w:val="00944708"/>
    <w:rsid w:val="00961153"/>
    <w:rsid w:val="00986FA8"/>
    <w:rsid w:val="00993180"/>
    <w:rsid w:val="009D1E89"/>
    <w:rsid w:val="009D3A5F"/>
    <w:rsid w:val="009E2072"/>
    <w:rsid w:val="009F0ECD"/>
    <w:rsid w:val="00A02B63"/>
    <w:rsid w:val="00A04B0A"/>
    <w:rsid w:val="00A21FA4"/>
    <w:rsid w:val="00A30B88"/>
    <w:rsid w:val="00A3231A"/>
    <w:rsid w:val="00A429AA"/>
    <w:rsid w:val="00A46CCB"/>
    <w:rsid w:val="00A74EC3"/>
    <w:rsid w:val="00A76666"/>
    <w:rsid w:val="00A832F4"/>
    <w:rsid w:val="00AA2324"/>
    <w:rsid w:val="00AA48B4"/>
    <w:rsid w:val="00AB3860"/>
    <w:rsid w:val="00AC4173"/>
    <w:rsid w:val="00AD353E"/>
    <w:rsid w:val="00AE4650"/>
    <w:rsid w:val="00B10864"/>
    <w:rsid w:val="00B21B03"/>
    <w:rsid w:val="00B2268F"/>
    <w:rsid w:val="00B40F49"/>
    <w:rsid w:val="00B536AA"/>
    <w:rsid w:val="00B95DF9"/>
    <w:rsid w:val="00BB3DBE"/>
    <w:rsid w:val="00BB6EE1"/>
    <w:rsid w:val="00BC42C6"/>
    <w:rsid w:val="00BD1875"/>
    <w:rsid w:val="00C1799B"/>
    <w:rsid w:val="00C24FA6"/>
    <w:rsid w:val="00C41058"/>
    <w:rsid w:val="00C77C45"/>
    <w:rsid w:val="00C9131D"/>
    <w:rsid w:val="00CA2C38"/>
    <w:rsid w:val="00CB2789"/>
    <w:rsid w:val="00CD31EF"/>
    <w:rsid w:val="00CF3F14"/>
    <w:rsid w:val="00D60E79"/>
    <w:rsid w:val="00D7017D"/>
    <w:rsid w:val="00D72E66"/>
    <w:rsid w:val="00DC1CCD"/>
    <w:rsid w:val="00DF0A51"/>
    <w:rsid w:val="00DF3436"/>
    <w:rsid w:val="00DF3564"/>
    <w:rsid w:val="00E04AF4"/>
    <w:rsid w:val="00E143DE"/>
    <w:rsid w:val="00E576BF"/>
    <w:rsid w:val="00EA1829"/>
    <w:rsid w:val="00EA2F09"/>
    <w:rsid w:val="00ED6815"/>
    <w:rsid w:val="00EE49BD"/>
    <w:rsid w:val="00F40EFE"/>
    <w:rsid w:val="00F450BB"/>
    <w:rsid w:val="00F4655E"/>
    <w:rsid w:val="00F620F3"/>
    <w:rsid w:val="00F632AF"/>
    <w:rsid w:val="00F66870"/>
    <w:rsid w:val="00F757A7"/>
    <w:rsid w:val="00FD4D34"/>
    <w:rsid w:val="00FF4F0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5A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8D4"/>
    <w:rPr>
      <w:rFonts w:ascii="Times New Roman" w:hAnsi="Times New Roman" w:cs="Times New Roman"/>
      <w:lang w:eastAsia="fr-FR"/>
    </w:rPr>
  </w:style>
  <w:style w:type="paragraph" w:styleId="Titre1">
    <w:name w:val="heading 1"/>
    <w:basedOn w:val="Normal"/>
    <w:next w:val="Normal"/>
    <w:link w:val="Titre1Car"/>
    <w:uiPriority w:val="9"/>
    <w:qFormat/>
    <w:rsid w:val="00FD4D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D4D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632A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3DE"/>
    <w:pPr>
      <w:tabs>
        <w:tab w:val="center" w:pos="4320"/>
        <w:tab w:val="right" w:pos="8640"/>
      </w:tabs>
    </w:pPr>
  </w:style>
  <w:style w:type="character" w:customStyle="1" w:styleId="En-tteCar">
    <w:name w:val="En-tête Car"/>
    <w:basedOn w:val="Policepardfaut"/>
    <w:link w:val="En-tte"/>
    <w:uiPriority w:val="99"/>
    <w:rsid w:val="00E143DE"/>
    <w:rPr>
      <w:rFonts w:ascii="Times New Roman" w:eastAsia="Times New Roman" w:hAnsi="Times New Roman" w:cs="Times New Roman"/>
      <w:lang w:val="en-US"/>
    </w:rPr>
  </w:style>
  <w:style w:type="paragraph" w:styleId="Pieddepage">
    <w:name w:val="footer"/>
    <w:basedOn w:val="Normal"/>
    <w:link w:val="PieddepageCar"/>
    <w:uiPriority w:val="99"/>
    <w:unhideWhenUsed/>
    <w:rsid w:val="00E143DE"/>
    <w:pPr>
      <w:tabs>
        <w:tab w:val="center" w:pos="4320"/>
        <w:tab w:val="right" w:pos="8640"/>
      </w:tabs>
    </w:pPr>
  </w:style>
  <w:style w:type="character" w:customStyle="1" w:styleId="PieddepageCar">
    <w:name w:val="Pied de page Car"/>
    <w:basedOn w:val="Policepardfaut"/>
    <w:link w:val="Pieddepage"/>
    <w:uiPriority w:val="99"/>
    <w:rsid w:val="00E143DE"/>
    <w:rPr>
      <w:rFonts w:ascii="Times New Roman" w:eastAsia="Times New Roman" w:hAnsi="Times New Roman" w:cs="Times New Roman"/>
      <w:lang w:val="en-US"/>
    </w:rPr>
  </w:style>
  <w:style w:type="paragraph" w:styleId="Pardeliste">
    <w:name w:val="List Paragraph"/>
    <w:basedOn w:val="Normal"/>
    <w:uiPriority w:val="34"/>
    <w:qFormat/>
    <w:rsid w:val="002A03F0"/>
    <w:pPr>
      <w:ind w:left="720"/>
      <w:contextualSpacing/>
    </w:pPr>
  </w:style>
  <w:style w:type="character" w:styleId="Numrodepage">
    <w:name w:val="page number"/>
    <w:basedOn w:val="Policepardfaut"/>
    <w:uiPriority w:val="99"/>
    <w:semiHidden/>
    <w:unhideWhenUsed/>
    <w:rsid w:val="00C24FA6"/>
  </w:style>
  <w:style w:type="paragraph" w:styleId="Notedebasdepage">
    <w:name w:val="footnote text"/>
    <w:basedOn w:val="Normal"/>
    <w:link w:val="NotedebasdepageCar"/>
    <w:uiPriority w:val="99"/>
    <w:unhideWhenUsed/>
    <w:rsid w:val="00C77C45"/>
  </w:style>
  <w:style w:type="character" w:customStyle="1" w:styleId="NotedebasdepageCar">
    <w:name w:val="Note de bas de page Car"/>
    <w:basedOn w:val="Policepardfaut"/>
    <w:link w:val="Notedebasdepage"/>
    <w:uiPriority w:val="99"/>
    <w:rsid w:val="00C77C45"/>
    <w:rPr>
      <w:rFonts w:ascii="Times New Roman" w:eastAsia="Times New Roman" w:hAnsi="Times New Roman" w:cs="Times New Roman"/>
      <w:lang w:val="en-US"/>
    </w:rPr>
  </w:style>
  <w:style w:type="character" w:styleId="Appelnotedebasdep">
    <w:name w:val="footnote reference"/>
    <w:basedOn w:val="Policepardfaut"/>
    <w:uiPriority w:val="99"/>
    <w:unhideWhenUsed/>
    <w:rsid w:val="00C77C45"/>
    <w:rPr>
      <w:vertAlign w:val="superscript"/>
    </w:rPr>
  </w:style>
  <w:style w:type="character" w:styleId="Lienhypertexte">
    <w:name w:val="Hyperlink"/>
    <w:basedOn w:val="Policepardfaut"/>
    <w:uiPriority w:val="99"/>
    <w:unhideWhenUsed/>
    <w:rsid w:val="00CB2789"/>
    <w:rPr>
      <w:color w:val="0000FF"/>
      <w:u w:val="single"/>
    </w:rPr>
  </w:style>
  <w:style w:type="paragraph" w:styleId="Normalweb">
    <w:name w:val="Normal (Web)"/>
    <w:basedOn w:val="Normal"/>
    <w:uiPriority w:val="99"/>
    <w:unhideWhenUsed/>
    <w:rsid w:val="002E28D4"/>
    <w:pPr>
      <w:spacing w:before="100" w:beforeAutospacing="1" w:after="100" w:afterAutospacing="1"/>
    </w:pPr>
  </w:style>
  <w:style w:type="character" w:customStyle="1" w:styleId="Titre1Car">
    <w:name w:val="Titre 1 Car"/>
    <w:basedOn w:val="Policepardfaut"/>
    <w:link w:val="Titre1"/>
    <w:uiPriority w:val="9"/>
    <w:rsid w:val="00FD4D34"/>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FD4D34"/>
    <w:rPr>
      <w:rFonts w:asciiTheme="majorHAnsi" w:eastAsiaTheme="majorEastAsia" w:hAnsiTheme="majorHAnsi" w:cstheme="majorBidi"/>
      <w:color w:val="2F5496" w:themeColor="accent1" w:themeShade="BF"/>
      <w:sz w:val="26"/>
      <w:szCs w:val="26"/>
      <w:lang w:eastAsia="fr-FR"/>
    </w:rPr>
  </w:style>
  <w:style w:type="paragraph" w:styleId="TM1">
    <w:name w:val="toc 1"/>
    <w:basedOn w:val="Normal"/>
    <w:next w:val="Normal"/>
    <w:autoRedefine/>
    <w:uiPriority w:val="39"/>
    <w:unhideWhenUsed/>
    <w:rsid w:val="00F632AF"/>
    <w:pPr>
      <w:spacing w:before="120"/>
    </w:pPr>
    <w:rPr>
      <w:rFonts w:asciiTheme="minorHAnsi" w:hAnsiTheme="minorHAnsi"/>
      <w:b/>
      <w:bCs/>
      <w:caps/>
      <w:sz w:val="22"/>
      <w:szCs w:val="22"/>
    </w:rPr>
  </w:style>
  <w:style w:type="paragraph" w:styleId="TM2">
    <w:name w:val="toc 2"/>
    <w:basedOn w:val="Normal"/>
    <w:next w:val="Normal"/>
    <w:autoRedefine/>
    <w:uiPriority w:val="39"/>
    <w:unhideWhenUsed/>
    <w:rsid w:val="00F632AF"/>
    <w:pPr>
      <w:ind w:left="240"/>
    </w:pPr>
    <w:rPr>
      <w:rFonts w:asciiTheme="minorHAnsi" w:hAnsiTheme="minorHAnsi"/>
      <w:smallCaps/>
      <w:sz w:val="22"/>
      <w:szCs w:val="22"/>
    </w:rPr>
  </w:style>
  <w:style w:type="paragraph" w:styleId="TM3">
    <w:name w:val="toc 3"/>
    <w:basedOn w:val="Normal"/>
    <w:next w:val="Normal"/>
    <w:autoRedefine/>
    <w:uiPriority w:val="39"/>
    <w:unhideWhenUsed/>
    <w:rsid w:val="00F632AF"/>
    <w:pPr>
      <w:ind w:left="480"/>
    </w:pPr>
    <w:rPr>
      <w:rFonts w:asciiTheme="minorHAnsi" w:hAnsiTheme="minorHAnsi"/>
      <w:i/>
      <w:iCs/>
      <w:sz w:val="22"/>
      <w:szCs w:val="22"/>
    </w:rPr>
  </w:style>
  <w:style w:type="paragraph" w:styleId="TM4">
    <w:name w:val="toc 4"/>
    <w:basedOn w:val="Normal"/>
    <w:next w:val="Normal"/>
    <w:autoRedefine/>
    <w:uiPriority w:val="39"/>
    <w:unhideWhenUsed/>
    <w:rsid w:val="00F632AF"/>
    <w:pPr>
      <w:ind w:left="720"/>
    </w:pPr>
    <w:rPr>
      <w:rFonts w:asciiTheme="minorHAnsi" w:hAnsiTheme="minorHAnsi"/>
      <w:sz w:val="18"/>
      <w:szCs w:val="18"/>
    </w:rPr>
  </w:style>
  <w:style w:type="paragraph" w:styleId="TM5">
    <w:name w:val="toc 5"/>
    <w:basedOn w:val="Normal"/>
    <w:next w:val="Normal"/>
    <w:autoRedefine/>
    <w:uiPriority w:val="39"/>
    <w:unhideWhenUsed/>
    <w:rsid w:val="00F632AF"/>
    <w:pPr>
      <w:ind w:left="960"/>
    </w:pPr>
    <w:rPr>
      <w:rFonts w:asciiTheme="minorHAnsi" w:hAnsiTheme="minorHAnsi"/>
      <w:sz w:val="18"/>
      <w:szCs w:val="18"/>
    </w:rPr>
  </w:style>
  <w:style w:type="paragraph" w:styleId="TM6">
    <w:name w:val="toc 6"/>
    <w:basedOn w:val="Normal"/>
    <w:next w:val="Normal"/>
    <w:autoRedefine/>
    <w:uiPriority w:val="39"/>
    <w:unhideWhenUsed/>
    <w:rsid w:val="00F632AF"/>
    <w:pPr>
      <w:ind w:left="1200"/>
    </w:pPr>
    <w:rPr>
      <w:rFonts w:asciiTheme="minorHAnsi" w:hAnsiTheme="minorHAnsi"/>
      <w:sz w:val="18"/>
      <w:szCs w:val="18"/>
    </w:rPr>
  </w:style>
  <w:style w:type="paragraph" w:styleId="TM7">
    <w:name w:val="toc 7"/>
    <w:basedOn w:val="Normal"/>
    <w:next w:val="Normal"/>
    <w:autoRedefine/>
    <w:uiPriority w:val="39"/>
    <w:unhideWhenUsed/>
    <w:rsid w:val="00F632AF"/>
    <w:pPr>
      <w:ind w:left="1440"/>
    </w:pPr>
    <w:rPr>
      <w:rFonts w:asciiTheme="minorHAnsi" w:hAnsiTheme="minorHAnsi"/>
      <w:sz w:val="18"/>
      <w:szCs w:val="18"/>
    </w:rPr>
  </w:style>
  <w:style w:type="paragraph" w:styleId="TM8">
    <w:name w:val="toc 8"/>
    <w:basedOn w:val="Normal"/>
    <w:next w:val="Normal"/>
    <w:autoRedefine/>
    <w:uiPriority w:val="39"/>
    <w:unhideWhenUsed/>
    <w:rsid w:val="00F632AF"/>
    <w:pPr>
      <w:ind w:left="1680"/>
    </w:pPr>
    <w:rPr>
      <w:rFonts w:asciiTheme="minorHAnsi" w:hAnsiTheme="minorHAnsi"/>
      <w:sz w:val="18"/>
      <w:szCs w:val="18"/>
    </w:rPr>
  </w:style>
  <w:style w:type="paragraph" w:styleId="TM9">
    <w:name w:val="toc 9"/>
    <w:basedOn w:val="Normal"/>
    <w:next w:val="Normal"/>
    <w:autoRedefine/>
    <w:uiPriority w:val="39"/>
    <w:unhideWhenUsed/>
    <w:rsid w:val="00F632AF"/>
    <w:pPr>
      <w:ind w:left="1920"/>
    </w:pPr>
    <w:rPr>
      <w:rFonts w:asciiTheme="minorHAnsi" w:hAnsiTheme="minorHAnsi"/>
      <w:sz w:val="18"/>
      <w:szCs w:val="18"/>
    </w:rPr>
  </w:style>
  <w:style w:type="character" w:customStyle="1" w:styleId="Titre3Car">
    <w:name w:val="Titre 3 Car"/>
    <w:basedOn w:val="Policepardfaut"/>
    <w:link w:val="Titre3"/>
    <w:uiPriority w:val="9"/>
    <w:rsid w:val="00F632AF"/>
    <w:rPr>
      <w:rFonts w:asciiTheme="majorHAnsi" w:eastAsiaTheme="majorEastAsia" w:hAnsiTheme="majorHAnsi" w:cstheme="majorBidi"/>
      <w:color w:val="1F3763" w:themeColor="accent1" w:themeShade="7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95174">
      <w:bodyDiv w:val="1"/>
      <w:marLeft w:val="0"/>
      <w:marRight w:val="0"/>
      <w:marTop w:val="0"/>
      <w:marBottom w:val="0"/>
      <w:divBdr>
        <w:top w:val="none" w:sz="0" w:space="0" w:color="auto"/>
        <w:left w:val="none" w:sz="0" w:space="0" w:color="auto"/>
        <w:bottom w:val="none" w:sz="0" w:space="0" w:color="auto"/>
        <w:right w:val="none" w:sz="0" w:space="0" w:color="auto"/>
      </w:divBdr>
    </w:div>
    <w:div w:id="1254973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47853-B52E-8345-90C3-C034DE46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2781</Words>
  <Characters>15301</Characters>
  <Application>Microsoft Macintosh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mdsvane@gmail.com</dc:creator>
  <cp:keywords/>
  <dc:description/>
  <cp:lastModifiedBy>mdsvane@gmail.com</cp:lastModifiedBy>
  <cp:revision>110</cp:revision>
  <dcterms:created xsi:type="dcterms:W3CDTF">2019-02-10T15:22:00Z</dcterms:created>
  <dcterms:modified xsi:type="dcterms:W3CDTF">2019-02-11T20:53:00Z</dcterms:modified>
</cp:coreProperties>
</file>