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Look w:val="01E0" w:firstRow="1" w:lastRow="1" w:firstColumn="1" w:lastColumn="1" w:noHBand="0" w:noVBand="0"/>
      </w:tblPr>
      <w:tblGrid>
        <w:gridCol w:w="3943"/>
        <w:gridCol w:w="4846"/>
      </w:tblGrid>
      <w:tr w:rsidR="00697342" w:rsidRPr="00EA25AF" w14:paraId="6D725944" w14:textId="77777777" w:rsidTr="00697342">
        <w:trPr>
          <w:trHeight w:val="851"/>
        </w:trPr>
        <w:tc>
          <w:tcPr>
            <w:tcW w:w="3943" w:type="dxa"/>
          </w:tcPr>
          <w:p w14:paraId="2FC35A66" w14:textId="17A75438" w:rsidR="00EA25AF" w:rsidRPr="00EA25AF" w:rsidRDefault="00EA25AF" w:rsidP="00253129">
            <w:pPr>
              <w:rPr>
                <w:rFonts w:ascii="Times New Roman" w:hAnsi="Times New Roman" w:cs="Times New Roman"/>
                <w:sz w:val="36"/>
                <w:szCs w:val="36"/>
              </w:rPr>
            </w:pPr>
          </w:p>
        </w:tc>
        <w:tc>
          <w:tcPr>
            <w:tcW w:w="4846" w:type="dxa"/>
          </w:tcPr>
          <w:p w14:paraId="746FC8E7" w14:textId="77777777" w:rsidR="00EA25AF" w:rsidRPr="00EA25AF" w:rsidRDefault="00EA25AF" w:rsidP="00253129">
            <w:pPr>
              <w:jc w:val="right"/>
              <w:rPr>
                <w:rFonts w:ascii="Times New Roman" w:hAnsi="Times New Roman" w:cs="Times New Roman"/>
                <w:sz w:val="36"/>
                <w:szCs w:val="36"/>
              </w:rPr>
            </w:pPr>
            <w:r w:rsidRPr="00EA25AF">
              <w:rPr>
                <w:rFonts w:ascii="Times New Roman" w:hAnsi="Times New Roman" w:cs="Times New Roman"/>
                <w:sz w:val="36"/>
                <w:szCs w:val="36"/>
              </w:rPr>
              <w:t>Etienne A. Gratton</w:t>
            </w:r>
          </w:p>
          <w:p w14:paraId="7F7B3B8D" w14:textId="77777777" w:rsidR="00EA25AF" w:rsidRPr="00EA25AF" w:rsidRDefault="00EA25AF" w:rsidP="00253129">
            <w:pPr>
              <w:jc w:val="right"/>
              <w:rPr>
                <w:rFonts w:ascii="Times New Roman" w:hAnsi="Times New Roman" w:cs="Times New Roman"/>
                <w:sz w:val="36"/>
                <w:szCs w:val="36"/>
              </w:rPr>
            </w:pPr>
            <w:r w:rsidRPr="00EA25AF">
              <w:rPr>
                <w:rFonts w:ascii="Times New Roman" w:hAnsi="Times New Roman" w:cs="Times New Roman"/>
                <w:sz w:val="36"/>
                <w:szCs w:val="36"/>
              </w:rPr>
              <w:t>Alexis Lapierre</w:t>
            </w:r>
          </w:p>
          <w:p w14:paraId="35A89752" w14:textId="77777777" w:rsidR="00EA25AF" w:rsidRPr="00EA25AF" w:rsidRDefault="00EF1407" w:rsidP="00253129">
            <w:pPr>
              <w:jc w:val="right"/>
              <w:rPr>
                <w:rFonts w:ascii="Times New Roman" w:hAnsi="Times New Roman" w:cs="Times New Roman"/>
                <w:sz w:val="36"/>
                <w:szCs w:val="36"/>
              </w:rPr>
            </w:pPr>
            <w:r>
              <w:rPr>
                <w:rFonts w:ascii="Times New Roman" w:hAnsi="Times New Roman" w:cs="Times New Roman"/>
                <w:sz w:val="36"/>
                <w:szCs w:val="36"/>
              </w:rPr>
              <w:t>Laurian</w:t>
            </w:r>
            <w:r w:rsidR="00EA25AF" w:rsidRPr="00EA25AF">
              <w:rPr>
                <w:rFonts w:ascii="Times New Roman" w:hAnsi="Times New Roman" w:cs="Times New Roman"/>
                <w:sz w:val="36"/>
                <w:szCs w:val="36"/>
              </w:rPr>
              <w:t>e Palardy-Desrosiers</w:t>
            </w:r>
          </w:p>
          <w:p w14:paraId="1FC1EB73" w14:textId="77777777" w:rsidR="00EA25AF" w:rsidRPr="00EA25AF" w:rsidRDefault="00EA25AF" w:rsidP="00253129">
            <w:pPr>
              <w:jc w:val="right"/>
              <w:rPr>
                <w:rFonts w:ascii="Times New Roman" w:hAnsi="Times New Roman" w:cs="Times New Roman"/>
                <w:sz w:val="36"/>
                <w:szCs w:val="36"/>
              </w:rPr>
            </w:pPr>
            <w:r w:rsidRPr="00EA25AF">
              <w:rPr>
                <w:rFonts w:ascii="Times New Roman" w:hAnsi="Times New Roman" w:cs="Times New Roman"/>
                <w:sz w:val="36"/>
                <w:szCs w:val="36"/>
              </w:rPr>
              <w:t>Victor Vauclair</w:t>
            </w:r>
          </w:p>
        </w:tc>
      </w:tr>
    </w:tbl>
    <w:p w14:paraId="56D77246" w14:textId="77777777" w:rsidR="00EA25AF" w:rsidRPr="00EA25AF" w:rsidRDefault="00EA25AF" w:rsidP="00EA25AF">
      <w:pPr>
        <w:rPr>
          <w:rFonts w:ascii="Times New Roman" w:hAnsi="Times New Roman" w:cs="Times New Roman"/>
          <w:sz w:val="36"/>
          <w:szCs w:val="36"/>
        </w:rPr>
      </w:pPr>
      <w:r w:rsidRPr="00EA25AF">
        <w:rPr>
          <w:rFonts w:ascii="Times New Roman" w:hAnsi="Times New Roman" w:cs="Times New Roman"/>
          <w:sz w:val="36"/>
          <w:szCs w:val="36"/>
        </w:rPr>
        <w:t xml:space="preserve">                                                                                                                                 </w:t>
      </w:r>
    </w:p>
    <w:p w14:paraId="2247C8EA" w14:textId="77777777" w:rsidR="00EA25AF" w:rsidRPr="00EA25AF" w:rsidRDefault="00EA25AF" w:rsidP="00EA25AF">
      <w:pPr>
        <w:rPr>
          <w:rFonts w:ascii="Times New Roman" w:hAnsi="Times New Roman" w:cs="Times New Roman"/>
          <w:sz w:val="36"/>
          <w:szCs w:val="36"/>
        </w:rPr>
      </w:pPr>
      <w:r w:rsidRPr="00EA25AF">
        <w:rPr>
          <w:rFonts w:ascii="Times New Roman" w:hAnsi="Times New Roman" w:cs="Times New Roman"/>
          <w:sz w:val="36"/>
          <w:szCs w:val="36"/>
        </w:rPr>
        <w:t xml:space="preserve">                              </w:t>
      </w:r>
      <w:r w:rsidRPr="00EA25AF">
        <w:rPr>
          <w:rFonts w:ascii="Times New Roman" w:hAnsi="Times New Roman" w:cs="Times New Roman"/>
          <w:b/>
          <w:sz w:val="36"/>
          <w:szCs w:val="36"/>
        </w:rPr>
        <w:t xml:space="preserve">                                              </w:t>
      </w:r>
      <w:r w:rsidRPr="00EA25AF">
        <w:rPr>
          <w:rFonts w:ascii="Times New Roman" w:hAnsi="Times New Roman" w:cs="Times New Roman"/>
          <w:sz w:val="36"/>
          <w:szCs w:val="36"/>
        </w:rPr>
        <w:t xml:space="preserve">                                                                                        </w:t>
      </w:r>
    </w:p>
    <w:p w14:paraId="36F3788C" w14:textId="77777777" w:rsidR="00EA25AF" w:rsidRPr="00EA25AF" w:rsidRDefault="00EA25AF" w:rsidP="00EA25AF">
      <w:pPr>
        <w:jc w:val="center"/>
        <w:rPr>
          <w:rFonts w:ascii="Times New Roman" w:hAnsi="Times New Roman" w:cs="Times New Roman"/>
          <w:sz w:val="20"/>
          <w:szCs w:val="20"/>
        </w:rPr>
      </w:pPr>
      <w:r w:rsidRPr="00EA25AF">
        <w:rPr>
          <w:rFonts w:ascii="Times New Roman" w:hAnsi="Times New Roman" w:cs="Times New Roman"/>
          <w:sz w:val="36"/>
          <w:szCs w:val="36"/>
        </w:rPr>
        <w:t xml:space="preserve">                                            </w:t>
      </w:r>
    </w:p>
    <w:p w14:paraId="35646DE6" w14:textId="77777777" w:rsidR="00EA25AF" w:rsidRPr="00EA25AF" w:rsidRDefault="00EA25AF" w:rsidP="00EA25AF">
      <w:pPr>
        <w:jc w:val="center"/>
        <w:rPr>
          <w:rFonts w:ascii="Times New Roman" w:hAnsi="Times New Roman" w:cs="Times New Roman"/>
          <w:b/>
          <w:sz w:val="56"/>
          <w:szCs w:val="56"/>
        </w:rPr>
      </w:pPr>
    </w:p>
    <w:p w14:paraId="68D8DEA1" w14:textId="77777777" w:rsidR="00EA25AF" w:rsidRPr="00EA25AF" w:rsidRDefault="00EA25AF" w:rsidP="00EA25AF">
      <w:pPr>
        <w:jc w:val="center"/>
        <w:rPr>
          <w:rFonts w:ascii="Times New Roman" w:hAnsi="Times New Roman" w:cs="Times New Roman"/>
          <w:b/>
          <w:sz w:val="56"/>
          <w:szCs w:val="56"/>
        </w:rPr>
      </w:pPr>
    </w:p>
    <w:p w14:paraId="62E1AAAA" w14:textId="77777777" w:rsidR="00EA25AF" w:rsidRPr="00EA25AF" w:rsidRDefault="00EA25AF" w:rsidP="00EA25AF">
      <w:pPr>
        <w:jc w:val="center"/>
        <w:rPr>
          <w:rFonts w:ascii="Times New Roman" w:hAnsi="Times New Roman" w:cs="Times New Roman"/>
          <w:sz w:val="52"/>
          <w:szCs w:val="52"/>
        </w:rPr>
      </w:pPr>
    </w:p>
    <w:p w14:paraId="065D3658" w14:textId="77777777" w:rsidR="00EA25AF" w:rsidRPr="00EA25AF" w:rsidRDefault="00EA25AF" w:rsidP="00EA25AF">
      <w:pPr>
        <w:jc w:val="center"/>
        <w:rPr>
          <w:rFonts w:ascii="Times New Roman" w:hAnsi="Times New Roman" w:cs="Times New Roman"/>
          <w:sz w:val="48"/>
          <w:szCs w:val="48"/>
        </w:rPr>
      </w:pPr>
      <w:r w:rsidRPr="00EA25AF">
        <w:rPr>
          <w:rFonts w:ascii="Times New Roman" w:hAnsi="Times New Roman" w:cs="Times New Roman"/>
          <w:sz w:val="48"/>
          <w:szCs w:val="48"/>
        </w:rPr>
        <w:t>Mémoire « Constituons ! »</w:t>
      </w:r>
    </w:p>
    <w:p w14:paraId="40FA87BD" w14:textId="77777777" w:rsidR="00D651C9" w:rsidRPr="00D42F44" w:rsidRDefault="00D651C9" w:rsidP="00D651C9">
      <w:pPr>
        <w:jc w:val="center"/>
        <w:rPr>
          <w:rFonts w:ascii="Times New Roman" w:eastAsia="Times New Roman" w:hAnsi="Times New Roman" w:cs="Times New Roman"/>
          <w:i/>
          <w:noProof w:val="0"/>
          <w:sz w:val="36"/>
          <w:szCs w:val="36"/>
          <w:lang w:val="fr-CA" w:eastAsia="fr-FR"/>
        </w:rPr>
      </w:pPr>
      <w:r w:rsidRPr="00D42F44">
        <w:rPr>
          <w:rFonts w:ascii="Times New Roman" w:eastAsia="Times New Roman" w:hAnsi="Times New Roman" w:cs="Times New Roman"/>
          <w:bCs/>
          <w:i/>
          <w:noProof w:val="0"/>
          <w:color w:val="000000"/>
          <w:sz w:val="36"/>
          <w:szCs w:val="36"/>
          <w:lang w:val="fr-CA" w:eastAsia="fr-FR"/>
        </w:rPr>
        <w:t>Le travail à l’ère numérique</w:t>
      </w:r>
      <w:r w:rsidRPr="00D651C9">
        <w:rPr>
          <w:rFonts w:ascii="Times New Roman" w:eastAsia="Times New Roman" w:hAnsi="Times New Roman" w:cs="Times New Roman"/>
          <w:bCs/>
          <w:i/>
          <w:noProof w:val="0"/>
          <w:color w:val="000000"/>
          <w:sz w:val="36"/>
          <w:szCs w:val="36"/>
          <w:lang w:val="fr-CA" w:eastAsia="fr-FR"/>
        </w:rPr>
        <w:t xml:space="preserve"> : proposition d’ajout du droit à la déconnexion </w:t>
      </w:r>
      <w:r w:rsidRPr="00D42F44">
        <w:rPr>
          <w:rFonts w:ascii="Times New Roman" w:eastAsia="Times New Roman" w:hAnsi="Times New Roman" w:cs="Times New Roman"/>
          <w:bCs/>
          <w:i/>
          <w:noProof w:val="0"/>
          <w:color w:val="000000"/>
          <w:sz w:val="36"/>
          <w:szCs w:val="36"/>
          <w:lang w:val="fr-CA" w:eastAsia="fr-FR"/>
        </w:rPr>
        <w:t>dans la Constitution du Québec</w:t>
      </w:r>
    </w:p>
    <w:p w14:paraId="66363938" w14:textId="77777777" w:rsidR="00EA25AF" w:rsidRPr="00EA25AF" w:rsidRDefault="00EA25AF" w:rsidP="00EA25AF">
      <w:pPr>
        <w:jc w:val="center"/>
        <w:rPr>
          <w:rFonts w:ascii="Times New Roman" w:hAnsi="Times New Roman" w:cs="Times New Roman"/>
          <w:sz w:val="48"/>
          <w:szCs w:val="48"/>
        </w:rPr>
      </w:pPr>
    </w:p>
    <w:p w14:paraId="3AF385C4" w14:textId="77777777" w:rsidR="00EA25AF" w:rsidRPr="00EA25AF" w:rsidRDefault="00EA25AF" w:rsidP="0032547B">
      <w:pPr>
        <w:rPr>
          <w:rFonts w:ascii="Times New Roman" w:hAnsi="Times New Roman" w:cs="Times New Roman"/>
          <w:sz w:val="48"/>
          <w:szCs w:val="48"/>
        </w:rPr>
      </w:pPr>
    </w:p>
    <w:p w14:paraId="3FA42835" w14:textId="77777777" w:rsidR="00A458A7" w:rsidRDefault="00A458A7" w:rsidP="00EA25AF">
      <w:pPr>
        <w:jc w:val="center"/>
        <w:rPr>
          <w:rFonts w:ascii="Times New Roman" w:hAnsi="Times New Roman" w:cs="Times New Roman"/>
          <w:sz w:val="48"/>
          <w:szCs w:val="48"/>
        </w:rPr>
      </w:pPr>
    </w:p>
    <w:p w14:paraId="0882393A" w14:textId="0663D9B8" w:rsidR="00EA25AF" w:rsidRPr="00EA25AF" w:rsidRDefault="00EA25AF" w:rsidP="00EA25AF">
      <w:pPr>
        <w:jc w:val="center"/>
        <w:rPr>
          <w:rFonts w:ascii="Times New Roman" w:hAnsi="Times New Roman" w:cs="Times New Roman"/>
          <w:sz w:val="48"/>
          <w:szCs w:val="48"/>
        </w:rPr>
      </w:pPr>
      <w:r w:rsidRPr="00EA25AF">
        <w:rPr>
          <w:rFonts w:ascii="Times New Roman" w:hAnsi="Times New Roman" w:cs="Times New Roman"/>
          <w:sz w:val="48"/>
          <w:szCs w:val="48"/>
        </w:rPr>
        <w:t>Université McGill – Faculté de droit</w:t>
      </w:r>
    </w:p>
    <w:p w14:paraId="06DA2131" w14:textId="77777777" w:rsidR="00EA25AF" w:rsidRPr="00EA25AF" w:rsidRDefault="00EA25AF" w:rsidP="00EA25AF">
      <w:pPr>
        <w:jc w:val="center"/>
        <w:rPr>
          <w:rFonts w:ascii="Times New Roman" w:hAnsi="Times New Roman" w:cs="Times New Roman"/>
          <w:sz w:val="48"/>
          <w:szCs w:val="48"/>
        </w:rPr>
      </w:pPr>
    </w:p>
    <w:p w14:paraId="79381456" w14:textId="23CA83D3" w:rsidR="00EA25AF" w:rsidRDefault="00EA25AF" w:rsidP="00EA25AF">
      <w:pPr>
        <w:jc w:val="center"/>
        <w:rPr>
          <w:rFonts w:ascii="Times New Roman" w:hAnsi="Times New Roman" w:cs="Times New Roman"/>
          <w:sz w:val="48"/>
          <w:szCs w:val="48"/>
        </w:rPr>
      </w:pPr>
    </w:p>
    <w:p w14:paraId="2B2FFD83" w14:textId="6B1D457B" w:rsidR="0032547B" w:rsidRDefault="0032547B" w:rsidP="00EA25AF">
      <w:pPr>
        <w:jc w:val="center"/>
        <w:rPr>
          <w:rFonts w:ascii="Times New Roman" w:hAnsi="Times New Roman" w:cs="Times New Roman"/>
          <w:sz w:val="48"/>
          <w:szCs w:val="48"/>
        </w:rPr>
      </w:pPr>
    </w:p>
    <w:p w14:paraId="5CFF770B" w14:textId="26BB2F86" w:rsidR="0032547B" w:rsidRDefault="007C4C45" w:rsidP="00EA25AF">
      <w:pPr>
        <w:jc w:val="center"/>
        <w:rPr>
          <w:rFonts w:ascii="Times New Roman" w:hAnsi="Times New Roman" w:cs="Times New Roman"/>
          <w:sz w:val="48"/>
          <w:szCs w:val="48"/>
        </w:rPr>
      </w:pPr>
      <w:r>
        <w:rPr>
          <w:rFonts w:ascii="Times New Roman" w:hAnsi="Times New Roman" w:cs="Times New Roman"/>
          <w:sz w:val="48"/>
          <w:szCs w:val="48"/>
        </w:rPr>
        <w:t>3000 mots</w:t>
      </w:r>
    </w:p>
    <w:p w14:paraId="046916B0" w14:textId="77777777" w:rsidR="0032547B" w:rsidRPr="00EA25AF" w:rsidRDefault="0032547B" w:rsidP="00EA25AF">
      <w:pPr>
        <w:jc w:val="center"/>
        <w:rPr>
          <w:rFonts w:ascii="Times New Roman" w:hAnsi="Times New Roman" w:cs="Times New Roman"/>
          <w:sz w:val="48"/>
          <w:szCs w:val="48"/>
        </w:rPr>
      </w:pPr>
    </w:p>
    <w:p w14:paraId="777128A4" w14:textId="77777777" w:rsidR="00EA25AF" w:rsidRDefault="00EA25AF" w:rsidP="00EA25AF">
      <w:pPr>
        <w:jc w:val="center"/>
        <w:rPr>
          <w:rFonts w:ascii="Times New Roman" w:hAnsi="Times New Roman" w:cs="Times New Roman"/>
          <w:sz w:val="48"/>
          <w:szCs w:val="48"/>
        </w:rPr>
      </w:pPr>
    </w:p>
    <w:p w14:paraId="4B311017" w14:textId="77777777" w:rsidR="00EA25AF" w:rsidRPr="00EA25AF" w:rsidRDefault="00EA25AF" w:rsidP="00D651C9">
      <w:pPr>
        <w:rPr>
          <w:rFonts w:ascii="Times New Roman" w:hAnsi="Times New Roman" w:cs="Times New Roman"/>
          <w:sz w:val="48"/>
          <w:szCs w:val="48"/>
        </w:rPr>
      </w:pPr>
    </w:p>
    <w:p w14:paraId="34432D94" w14:textId="77777777" w:rsidR="00EA25AF" w:rsidRPr="00EA25AF" w:rsidRDefault="00EA25AF" w:rsidP="00EA25AF">
      <w:pPr>
        <w:jc w:val="center"/>
        <w:rPr>
          <w:rFonts w:ascii="Times New Roman" w:hAnsi="Times New Roman" w:cs="Times New Roman"/>
          <w:sz w:val="36"/>
          <w:szCs w:val="36"/>
        </w:rPr>
      </w:pPr>
    </w:p>
    <w:p w14:paraId="10385DD6" w14:textId="77777777" w:rsidR="00EA25AF" w:rsidRPr="00EA25AF" w:rsidRDefault="00EA25AF" w:rsidP="00EA25AF">
      <w:pPr>
        <w:rPr>
          <w:rFonts w:ascii="Times New Roman" w:hAnsi="Times New Roman" w:cs="Times New Roman"/>
          <w:i/>
        </w:rPr>
      </w:pPr>
    </w:p>
    <w:p w14:paraId="5D7490C4" w14:textId="77777777" w:rsidR="00EA25AF" w:rsidRPr="00EA25AF" w:rsidRDefault="00EA25AF" w:rsidP="00EA25AF">
      <w:pPr>
        <w:jc w:val="center"/>
        <w:rPr>
          <w:rFonts w:ascii="Times New Roman" w:hAnsi="Times New Roman" w:cs="Times New Roman"/>
          <w:i/>
        </w:rPr>
      </w:pPr>
    </w:p>
    <w:p w14:paraId="5BE2879E" w14:textId="77777777" w:rsidR="001C23A6" w:rsidRDefault="00EA25AF" w:rsidP="00EA25AF">
      <w:pPr>
        <w:jc w:val="center"/>
        <w:rPr>
          <w:rFonts w:ascii="Times New Roman" w:eastAsia="Times New Roman" w:hAnsi="Times New Roman" w:cs="Times New Roman"/>
          <w:b/>
          <w:bCs/>
          <w:noProof w:val="0"/>
          <w:color w:val="000000"/>
          <w:lang w:val="fr-CA" w:eastAsia="fr-FR"/>
        </w:rPr>
      </w:pPr>
      <w:r w:rsidRPr="00EA25AF">
        <w:rPr>
          <w:rFonts w:ascii="Times New Roman" w:hAnsi="Times New Roman" w:cs="Times New Roman"/>
          <w:sz w:val="36"/>
          <w:szCs w:val="36"/>
        </w:rPr>
        <w:t>11 février 2019</w:t>
      </w:r>
      <w:r w:rsidR="001C23A6">
        <w:rPr>
          <w:rFonts w:ascii="Times New Roman" w:eastAsia="Times New Roman" w:hAnsi="Times New Roman" w:cs="Times New Roman"/>
          <w:b/>
          <w:bCs/>
          <w:noProof w:val="0"/>
          <w:color w:val="000000"/>
          <w:lang w:val="fr-CA" w:eastAsia="fr-FR"/>
        </w:rPr>
        <w:br w:type="page"/>
      </w:r>
    </w:p>
    <w:sdt>
      <w:sdtPr>
        <w:rPr>
          <w:rFonts w:asciiTheme="minorHAnsi" w:eastAsiaTheme="minorHAnsi" w:hAnsiTheme="minorHAnsi" w:cstheme="minorBidi"/>
          <w:b w:val="0"/>
          <w:bCs w:val="0"/>
          <w:noProof/>
          <w:color w:val="auto"/>
          <w:sz w:val="24"/>
          <w:szCs w:val="24"/>
          <w:lang w:val="fr-FR" w:eastAsia="en-US"/>
        </w:rPr>
        <w:id w:val="911509471"/>
        <w:docPartObj>
          <w:docPartGallery w:val="Table of Contents"/>
          <w:docPartUnique/>
        </w:docPartObj>
      </w:sdtPr>
      <w:sdtEndPr/>
      <w:sdtContent>
        <w:p w14:paraId="1C799F21" w14:textId="77777777" w:rsidR="00F12903" w:rsidRDefault="00F12903">
          <w:pPr>
            <w:pStyle w:val="En-ttedetabledesmatires"/>
          </w:pPr>
          <w:r>
            <w:rPr>
              <w:lang w:val="fr-FR"/>
            </w:rPr>
            <w:t>Table des matières</w:t>
          </w:r>
        </w:p>
        <w:p w14:paraId="363B5978" w14:textId="4C058A50" w:rsidR="00B37984" w:rsidRDefault="00F12903">
          <w:pPr>
            <w:pStyle w:val="TM1"/>
            <w:tabs>
              <w:tab w:val="right" w:leader="dot" w:pos="8630"/>
            </w:tabs>
            <w:rPr>
              <w:rFonts w:asciiTheme="minorHAnsi" w:eastAsiaTheme="minorEastAsia" w:hAnsiTheme="minorHAnsi" w:cstheme="minorBidi"/>
              <w:b w:val="0"/>
              <w:bCs w:val="0"/>
              <w:iCs w:val="0"/>
              <w:sz w:val="24"/>
              <w:lang w:val="fr-CA" w:eastAsia="fr-FR"/>
            </w:rPr>
          </w:pPr>
          <w:r>
            <w:rPr>
              <w:b w:val="0"/>
              <w:bCs w:val="0"/>
              <w:noProof w:val="0"/>
            </w:rPr>
            <w:fldChar w:fldCharType="begin"/>
          </w:r>
          <w:r>
            <w:instrText>TOC \o "1-3" \h \z \u</w:instrText>
          </w:r>
          <w:r>
            <w:rPr>
              <w:b w:val="0"/>
              <w:bCs w:val="0"/>
              <w:noProof w:val="0"/>
            </w:rPr>
            <w:fldChar w:fldCharType="separate"/>
          </w:r>
          <w:hyperlink w:anchor="_Toc1328146" w:history="1">
            <w:r w:rsidR="00B37984" w:rsidRPr="00DF4B80">
              <w:rPr>
                <w:rStyle w:val="Lienhypertexte"/>
                <w:rFonts w:eastAsia="Times New Roman"/>
                <w:lang w:val="fr-CA" w:eastAsia="fr-FR"/>
              </w:rPr>
              <w:t>Introduction</w:t>
            </w:r>
            <w:r w:rsidR="00B37984">
              <w:rPr>
                <w:webHidden/>
              </w:rPr>
              <w:tab/>
            </w:r>
            <w:r w:rsidR="00B37984">
              <w:rPr>
                <w:webHidden/>
              </w:rPr>
              <w:fldChar w:fldCharType="begin"/>
            </w:r>
            <w:r w:rsidR="00B37984">
              <w:rPr>
                <w:webHidden/>
              </w:rPr>
              <w:instrText xml:space="preserve"> PAGEREF _Toc1328146 \h </w:instrText>
            </w:r>
            <w:r w:rsidR="00B37984">
              <w:rPr>
                <w:webHidden/>
              </w:rPr>
            </w:r>
            <w:r w:rsidR="00B37984">
              <w:rPr>
                <w:webHidden/>
              </w:rPr>
              <w:fldChar w:fldCharType="separate"/>
            </w:r>
            <w:r w:rsidR="00B37984">
              <w:rPr>
                <w:webHidden/>
              </w:rPr>
              <w:t>3</w:t>
            </w:r>
            <w:r w:rsidR="00B37984">
              <w:rPr>
                <w:webHidden/>
              </w:rPr>
              <w:fldChar w:fldCharType="end"/>
            </w:r>
          </w:hyperlink>
        </w:p>
        <w:p w14:paraId="1DE411B5" w14:textId="60275760" w:rsidR="00B37984" w:rsidRDefault="00B37984">
          <w:pPr>
            <w:pStyle w:val="TM1"/>
            <w:tabs>
              <w:tab w:val="left" w:pos="480"/>
              <w:tab w:val="right" w:leader="dot" w:pos="8630"/>
            </w:tabs>
            <w:rPr>
              <w:rFonts w:asciiTheme="minorHAnsi" w:eastAsiaTheme="minorEastAsia" w:hAnsiTheme="minorHAnsi" w:cstheme="minorBidi"/>
              <w:b w:val="0"/>
              <w:bCs w:val="0"/>
              <w:iCs w:val="0"/>
              <w:sz w:val="24"/>
              <w:lang w:val="fr-CA" w:eastAsia="fr-FR"/>
            </w:rPr>
          </w:pPr>
          <w:hyperlink w:anchor="_Toc1328147" w:history="1">
            <w:r w:rsidRPr="00DF4B80">
              <w:rPr>
                <w:rStyle w:val="Lienhypertexte"/>
                <w:rFonts w:eastAsia="Times New Roman"/>
                <w:lang w:val="fr-CA" w:eastAsia="fr-FR"/>
              </w:rPr>
              <w:t>1.</w:t>
            </w:r>
            <w:r>
              <w:rPr>
                <w:rFonts w:asciiTheme="minorHAnsi" w:eastAsiaTheme="minorEastAsia" w:hAnsiTheme="minorHAnsi" w:cstheme="minorBidi"/>
                <w:b w:val="0"/>
                <w:bCs w:val="0"/>
                <w:iCs w:val="0"/>
                <w:sz w:val="24"/>
                <w:lang w:val="fr-CA" w:eastAsia="fr-FR"/>
              </w:rPr>
              <w:tab/>
            </w:r>
            <w:r w:rsidRPr="00DF4B80">
              <w:rPr>
                <w:rStyle w:val="Lienhypertexte"/>
                <w:rFonts w:eastAsia="Times New Roman"/>
                <w:lang w:val="fr-CA" w:eastAsia="fr-FR"/>
              </w:rPr>
              <w:t>Le milieu du travail à l’ère numérique : état des lieux</w:t>
            </w:r>
            <w:r>
              <w:rPr>
                <w:webHidden/>
              </w:rPr>
              <w:tab/>
            </w:r>
            <w:r>
              <w:rPr>
                <w:webHidden/>
              </w:rPr>
              <w:fldChar w:fldCharType="begin"/>
            </w:r>
            <w:r>
              <w:rPr>
                <w:webHidden/>
              </w:rPr>
              <w:instrText xml:space="preserve"> PAGEREF _Toc1328147 \h </w:instrText>
            </w:r>
            <w:r>
              <w:rPr>
                <w:webHidden/>
              </w:rPr>
            </w:r>
            <w:r>
              <w:rPr>
                <w:webHidden/>
              </w:rPr>
              <w:fldChar w:fldCharType="separate"/>
            </w:r>
            <w:r>
              <w:rPr>
                <w:webHidden/>
              </w:rPr>
              <w:t>3</w:t>
            </w:r>
            <w:r>
              <w:rPr>
                <w:webHidden/>
              </w:rPr>
              <w:fldChar w:fldCharType="end"/>
            </w:r>
          </w:hyperlink>
        </w:p>
        <w:p w14:paraId="518820AC" w14:textId="361FD8C4" w:rsidR="00B37984" w:rsidRDefault="00B37984">
          <w:pPr>
            <w:pStyle w:val="TM2"/>
            <w:tabs>
              <w:tab w:val="left" w:pos="960"/>
              <w:tab w:val="right" w:leader="dot" w:pos="8630"/>
            </w:tabs>
            <w:rPr>
              <w:rFonts w:asciiTheme="minorHAnsi" w:eastAsiaTheme="minorEastAsia" w:hAnsiTheme="minorHAnsi" w:cstheme="minorBidi"/>
              <w:bCs w:val="0"/>
              <w:i w:val="0"/>
              <w:sz w:val="24"/>
              <w:szCs w:val="24"/>
              <w:lang w:val="fr-CA" w:eastAsia="fr-FR"/>
            </w:rPr>
          </w:pPr>
          <w:hyperlink w:anchor="_Toc1328148" w:history="1">
            <w:r w:rsidRPr="00DF4B80">
              <w:rPr>
                <w:rStyle w:val="Lienhypertexte"/>
                <w:rFonts w:eastAsia="Times New Roman"/>
                <w:lang w:val="fr-CA" w:eastAsia="fr-FR"/>
              </w:rPr>
              <w:t>1.1</w:t>
            </w:r>
            <w:r>
              <w:rPr>
                <w:rFonts w:asciiTheme="minorHAnsi" w:eastAsiaTheme="minorEastAsia" w:hAnsiTheme="minorHAnsi" w:cstheme="minorBidi"/>
                <w:bCs w:val="0"/>
                <w:i w:val="0"/>
                <w:sz w:val="24"/>
                <w:szCs w:val="24"/>
                <w:lang w:val="fr-CA" w:eastAsia="fr-FR"/>
              </w:rPr>
              <w:tab/>
            </w:r>
            <w:r w:rsidRPr="00DF4B80">
              <w:rPr>
                <w:rStyle w:val="Lienhypertexte"/>
                <w:rFonts w:eastAsia="Times New Roman"/>
                <w:shd w:val="clear" w:color="auto" w:fill="FFFFFF"/>
                <w:lang w:val="fr-CA" w:eastAsia="fr-FR"/>
              </w:rPr>
              <w:t>L’hyper-connectivité : un enjeu psycho-social</w:t>
            </w:r>
            <w:r>
              <w:rPr>
                <w:webHidden/>
              </w:rPr>
              <w:tab/>
            </w:r>
            <w:r>
              <w:rPr>
                <w:webHidden/>
              </w:rPr>
              <w:fldChar w:fldCharType="begin"/>
            </w:r>
            <w:r>
              <w:rPr>
                <w:webHidden/>
              </w:rPr>
              <w:instrText xml:space="preserve"> PAGEREF _Toc1328148 \h </w:instrText>
            </w:r>
            <w:r>
              <w:rPr>
                <w:webHidden/>
              </w:rPr>
            </w:r>
            <w:r>
              <w:rPr>
                <w:webHidden/>
              </w:rPr>
              <w:fldChar w:fldCharType="separate"/>
            </w:r>
            <w:r>
              <w:rPr>
                <w:webHidden/>
              </w:rPr>
              <w:t>3</w:t>
            </w:r>
            <w:r>
              <w:rPr>
                <w:webHidden/>
              </w:rPr>
              <w:fldChar w:fldCharType="end"/>
            </w:r>
          </w:hyperlink>
        </w:p>
        <w:p w14:paraId="6E5A511B" w14:textId="09C4BBFD" w:rsidR="00B37984" w:rsidRDefault="00B37984">
          <w:pPr>
            <w:pStyle w:val="TM2"/>
            <w:tabs>
              <w:tab w:val="left" w:pos="960"/>
              <w:tab w:val="right" w:leader="dot" w:pos="8630"/>
            </w:tabs>
            <w:rPr>
              <w:rFonts w:asciiTheme="minorHAnsi" w:eastAsiaTheme="minorEastAsia" w:hAnsiTheme="minorHAnsi" w:cstheme="minorBidi"/>
              <w:bCs w:val="0"/>
              <w:i w:val="0"/>
              <w:sz w:val="24"/>
              <w:szCs w:val="24"/>
              <w:lang w:val="fr-CA" w:eastAsia="fr-FR"/>
            </w:rPr>
          </w:pPr>
          <w:hyperlink w:anchor="_Toc1328149" w:history="1">
            <w:r w:rsidRPr="00DF4B80">
              <w:rPr>
                <w:rStyle w:val="Lienhypertexte"/>
              </w:rPr>
              <w:t>1.2</w:t>
            </w:r>
            <w:r>
              <w:rPr>
                <w:rFonts w:asciiTheme="minorHAnsi" w:eastAsiaTheme="minorEastAsia" w:hAnsiTheme="minorHAnsi" w:cstheme="minorBidi"/>
                <w:bCs w:val="0"/>
                <w:i w:val="0"/>
                <w:sz w:val="24"/>
                <w:szCs w:val="24"/>
                <w:lang w:val="fr-CA" w:eastAsia="fr-FR"/>
              </w:rPr>
              <w:tab/>
            </w:r>
            <w:r w:rsidRPr="00DF4B80">
              <w:rPr>
                <w:rStyle w:val="Lienhypertexte"/>
              </w:rPr>
              <w:t>Consultation publique</w:t>
            </w:r>
            <w:r>
              <w:rPr>
                <w:webHidden/>
              </w:rPr>
              <w:tab/>
            </w:r>
            <w:r>
              <w:rPr>
                <w:webHidden/>
              </w:rPr>
              <w:fldChar w:fldCharType="begin"/>
            </w:r>
            <w:r>
              <w:rPr>
                <w:webHidden/>
              </w:rPr>
              <w:instrText xml:space="preserve"> PAGEREF _Toc1328149 \h </w:instrText>
            </w:r>
            <w:r>
              <w:rPr>
                <w:webHidden/>
              </w:rPr>
            </w:r>
            <w:r>
              <w:rPr>
                <w:webHidden/>
              </w:rPr>
              <w:fldChar w:fldCharType="separate"/>
            </w:r>
            <w:r>
              <w:rPr>
                <w:webHidden/>
              </w:rPr>
              <w:t>5</w:t>
            </w:r>
            <w:r>
              <w:rPr>
                <w:webHidden/>
              </w:rPr>
              <w:fldChar w:fldCharType="end"/>
            </w:r>
          </w:hyperlink>
        </w:p>
        <w:p w14:paraId="19E664DC" w14:textId="662136BB" w:rsidR="00B37984" w:rsidRDefault="00B37984">
          <w:pPr>
            <w:pStyle w:val="TM2"/>
            <w:tabs>
              <w:tab w:val="left" w:pos="960"/>
              <w:tab w:val="right" w:leader="dot" w:pos="8630"/>
            </w:tabs>
            <w:rPr>
              <w:rFonts w:asciiTheme="minorHAnsi" w:eastAsiaTheme="minorEastAsia" w:hAnsiTheme="minorHAnsi" w:cstheme="minorBidi"/>
              <w:bCs w:val="0"/>
              <w:i w:val="0"/>
              <w:sz w:val="24"/>
              <w:szCs w:val="24"/>
              <w:lang w:val="fr-CA" w:eastAsia="fr-FR"/>
            </w:rPr>
          </w:pPr>
          <w:hyperlink w:anchor="_Toc1328150" w:history="1">
            <w:r w:rsidRPr="00DF4B80">
              <w:rPr>
                <w:rStyle w:val="Lienhypertexte"/>
                <w:rFonts w:eastAsia="Times New Roman"/>
                <w:lang w:val="fr-CA" w:eastAsia="fr-FR"/>
              </w:rPr>
              <w:t>1.3</w:t>
            </w:r>
            <w:r>
              <w:rPr>
                <w:rFonts w:asciiTheme="minorHAnsi" w:eastAsiaTheme="minorEastAsia" w:hAnsiTheme="minorHAnsi" w:cstheme="minorBidi"/>
                <w:bCs w:val="0"/>
                <w:i w:val="0"/>
                <w:sz w:val="24"/>
                <w:szCs w:val="24"/>
                <w:lang w:val="fr-CA" w:eastAsia="fr-FR"/>
              </w:rPr>
              <w:tab/>
            </w:r>
            <w:r w:rsidRPr="00DF4B80">
              <w:rPr>
                <w:rStyle w:val="Lienhypertexte"/>
                <w:rFonts w:eastAsia="Times New Roman"/>
                <w:lang w:val="fr-CA" w:eastAsia="fr-FR"/>
              </w:rPr>
              <w:t xml:space="preserve">Initiatives organisationnelles: réponses partielles et </w:t>
            </w:r>
            <w:r w:rsidRPr="00DF4B80">
              <w:rPr>
                <w:rStyle w:val="Lienhypertexte"/>
              </w:rPr>
              <w:t>insuffisantes</w:t>
            </w:r>
            <w:r w:rsidRPr="00DF4B80">
              <w:rPr>
                <w:rStyle w:val="Lienhypertexte"/>
                <w:rFonts w:eastAsia="Times New Roman"/>
                <w:lang w:val="fr-CA" w:eastAsia="fr-FR"/>
              </w:rPr>
              <w:t xml:space="preserve"> au problème</w:t>
            </w:r>
            <w:r>
              <w:rPr>
                <w:webHidden/>
              </w:rPr>
              <w:tab/>
            </w:r>
            <w:r>
              <w:rPr>
                <w:webHidden/>
              </w:rPr>
              <w:fldChar w:fldCharType="begin"/>
            </w:r>
            <w:r>
              <w:rPr>
                <w:webHidden/>
              </w:rPr>
              <w:instrText xml:space="preserve"> PAGEREF _Toc1328150 \h </w:instrText>
            </w:r>
            <w:r>
              <w:rPr>
                <w:webHidden/>
              </w:rPr>
            </w:r>
            <w:r>
              <w:rPr>
                <w:webHidden/>
              </w:rPr>
              <w:fldChar w:fldCharType="separate"/>
            </w:r>
            <w:r>
              <w:rPr>
                <w:webHidden/>
              </w:rPr>
              <w:t>5</w:t>
            </w:r>
            <w:r>
              <w:rPr>
                <w:webHidden/>
              </w:rPr>
              <w:fldChar w:fldCharType="end"/>
            </w:r>
          </w:hyperlink>
        </w:p>
        <w:p w14:paraId="36B7FCB3" w14:textId="13651B2A" w:rsidR="00B37984" w:rsidRDefault="00B37984">
          <w:pPr>
            <w:pStyle w:val="TM1"/>
            <w:tabs>
              <w:tab w:val="left" w:pos="480"/>
              <w:tab w:val="right" w:leader="dot" w:pos="8630"/>
            </w:tabs>
            <w:rPr>
              <w:rFonts w:asciiTheme="minorHAnsi" w:eastAsiaTheme="minorEastAsia" w:hAnsiTheme="minorHAnsi" w:cstheme="minorBidi"/>
              <w:b w:val="0"/>
              <w:bCs w:val="0"/>
              <w:iCs w:val="0"/>
              <w:sz w:val="24"/>
              <w:lang w:val="fr-CA" w:eastAsia="fr-FR"/>
            </w:rPr>
          </w:pPr>
          <w:hyperlink w:anchor="_Toc1328151" w:history="1">
            <w:r w:rsidRPr="00DF4B80">
              <w:rPr>
                <w:rStyle w:val="Lienhypertexte"/>
                <w:rFonts w:eastAsia="Times New Roman"/>
                <w:lang w:val="fr-CA" w:eastAsia="fr-FR"/>
              </w:rPr>
              <w:t>2.</w:t>
            </w:r>
            <w:r>
              <w:rPr>
                <w:rFonts w:asciiTheme="minorHAnsi" w:eastAsiaTheme="minorEastAsia" w:hAnsiTheme="minorHAnsi" w:cstheme="minorBidi"/>
                <w:b w:val="0"/>
                <w:bCs w:val="0"/>
                <w:iCs w:val="0"/>
                <w:sz w:val="24"/>
                <w:lang w:val="fr-CA" w:eastAsia="fr-FR"/>
              </w:rPr>
              <w:tab/>
            </w:r>
            <w:r w:rsidRPr="00DF4B80">
              <w:rPr>
                <w:rStyle w:val="Lienhypertexte"/>
                <w:rFonts w:eastAsia="Times New Roman"/>
                <w:lang w:val="fr-CA" w:eastAsia="fr-FR"/>
              </w:rPr>
              <w:t>Le droit à la déconnexion en droit québécois</w:t>
            </w:r>
            <w:r>
              <w:rPr>
                <w:webHidden/>
              </w:rPr>
              <w:tab/>
            </w:r>
            <w:r>
              <w:rPr>
                <w:webHidden/>
              </w:rPr>
              <w:fldChar w:fldCharType="begin"/>
            </w:r>
            <w:r>
              <w:rPr>
                <w:webHidden/>
              </w:rPr>
              <w:instrText xml:space="preserve"> PAGEREF _Toc1328151 \h </w:instrText>
            </w:r>
            <w:r>
              <w:rPr>
                <w:webHidden/>
              </w:rPr>
            </w:r>
            <w:r>
              <w:rPr>
                <w:webHidden/>
              </w:rPr>
              <w:fldChar w:fldCharType="separate"/>
            </w:r>
            <w:r>
              <w:rPr>
                <w:webHidden/>
              </w:rPr>
              <w:t>7</w:t>
            </w:r>
            <w:r>
              <w:rPr>
                <w:webHidden/>
              </w:rPr>
              <w:fldChar w:fldCharType="end"/>
            </w:r>
          </w:hyperlink>
        </w:p>
        <w:p w14:paraId="4B664262" w14:textId="669A1709" w:rsidR="00B37984" w:rsidRDefault="00B37984">
          <w:pPr>
            <w:pStyle w:val="TM2"/>
            <w:tabs>
              <w:tab w:val="left" w:pos="960"/>
              <w:tab w:val="right" w:leader="dot" w:pos="8630"/>
            </w:tabs>
            <w:rPr>
              <w:rFonts w:asciiTheme="minorHAnsi" w:eastAsiaTheme="minorEastAsia" w:hAnsiTheme="minorHAnsi" w:cstheme="minorBidi"/>
              <w:bCs w:val="0"/>
              <w:i w:val="0"/>
              <w:sz w:val="24"/>
              <w:szCs w:val="24"/>
              <w:lang w:val="fr-CA" w:eastAsia="fr-FR"/>
            </w:rPr>
          </w:pPr>
          <w:hyperlink w:anchor="_Toc1328152" w:history="1">
            <w:r w:rsidRPr="00DF4B80">
              <w:rPr>
                <w:rStyle w:val="Lienhypertexte"/>
                <w:rFonts w:eastAsia="Times New Roman"/>
                <w:lang w:val="fr-CA" w:eastAsia="fr-FR"/>
              </w:rPr>
              <w:t>2.1</w:t>
            </w:r>
            <w:r>
              <w:rPr>
                <w:rFonts w:asciiTheme="minorHAnsi" w:eastAsiaTheme="minorEastAsia" w:hAnsiTheme="minorHAnsi" w:cstheme="minorBidi"/>
                <w:bCs w:val="0"/>
                <w:i w:val="0"/>
                <w:sz w:val="24"/>
                <w:szCs w:val="24"/>
                <w:lang w:val="fr-CA" w:eastAsia="fr-FR"/>
              </w:rPr>
              <w:tab/>
            </w:r>
            <w:r w:rsidRPr="00DF4B80">
              <w:rPr>
                <w:rStyle w:val="Lienhypertexte"/>
                <w:rFonts w:eastAsia="Times New Roman"/>
                <w:lang w:val="fr-CA" w:eastAsia="fr-FR"/>
              </w:rPr>
              <w:t>État des lieux et problématique</w:t>
            </w:r>
            <w:r>
              <w:rPr>
                <w:webHidden/>
              </w:rPr>
              <w:tab/>
            </w:r>
            <w:r>
              <w:rPr>
                <w:webHidden/>
              </w:rPr>
              <w:fldChar w:fldCharType="begin"/>
            </w:r>
            <w:r>
              <w:rPr>
                <w:webHidden/>
              </w:rPr>
              <w:instrText xml:space="preserve"> PAGEREF _Toc1328152 \h </w:instrText>
            </w:r>
            <w:r>
              <w:rPr>
                <w:webHidden/>
              </w:rPr>
            </w:r>
            <w:r>
              <w:rPr>
                <w:webHidden/>
              </w:rPr>
              <w:fldChar w:fldCharType="separate"/>
            </w:r>
            <w:r>
              <w:rPr>
                <w:webHidden/>
              </w:rPr>
              <w:t>7</w:t>
            </w:r>
            <w:r>
              <w:rPr>
                <w:webHidden/>
              </w:rPr>
              <w:fldChar w:fldCharType="end"/>
            </w:r>
          </w:hyperlink>
        </w:p>
        <w:p w14:paraId="2D0D7DE6" w14:textId="501A09B8" w:rsidR="00B37984" w:rsidRDefault="00B37984">
          <w:pPr>
            <w:pStyle w:val="TM2"/>
            <w:tabs>
              <w:tab w:val="left" w:pos="960"/>
              <w:tab w:val="right" w:leader="dot" w:pos="8630"/>
            </w:tabs>
            <w:rPr>
              <w:rFonts w:asciiTheme="minorHAnsi" w:eastAsiaTheme="minorEastAsia" w:hAnsiTheme="minorHAnsi" w:cstheme="minorBidi"/>
              <w:bCs w:val="0"/>
              <w:i w:val="0"/>
              <w:sz w:val="24"/>
              <w:szCs w:val="24"/>
              <w:lang w:val="fr-CA" w:eastAsia="fr-FR"/>
            </w:rPr>
          </w:pPr>
          <w:hyperlink w:anchor="_Toc1328153" w:history="1">
            <w:r w:rsidRPr="00DF4B80">
              <w:rPr>
                <w:rStyle w:val="Lienhypertexte"/>
                <w:rFonts w:eastAsia="Times New Roman"/>
                <w:lang w:val="fr-CA" w:eastAsia="fr-FR"/>
              </w:rPr>
              <w:t>2.2</w:t>
            </w:r>
            <w:r>
              <w:rPr>
                <w:rFonts w:asciiTheme="minorHAnsi" w:eastAsiaTheme="minorEastAsia" w:hAnsiTheme="minorHAnsi" w:cstheme="minorBidi"/>
                <w:bCs w:val="0"/>
                <w:i w:val="0"/>
                <w:sz w:val="24"/>
                <w:szCs w:val="24"/>
                <w:lang w:val="fr-CA" w:eastAsia="fr-FR"/>
              </w:rPr>
              <w:tab/>
            </w:r>
            <w:r w:rsidRPr="00DF4B80">
              <w:rPr>
                <w:rStyle w:val="Lienhypertexte"/>
                <w:rFonts w:eastAsia="Times New Roman"/>
                <w:lang w:val="fr-CA" w:eastAsia="fr-FR"/>
              </w:rPr>
              <w:t>L’article 46 de la Charte des droit et libertés de la personne</w:t>
            </w:r>
            <w:r>
              <w:rPr>
                <w:webHidden/>
              </w:rPr>
              <w:tab/>
            </w:r>
            <w:r>
              <w:rPr>
                <w:webHidden/>
              </w:rPr>
              <w:fldChar w:fldCharType="begin"/>
            </w:r>
            <w:r>
              <w:rPr>
                <w:webHidden/>
              </w:rPr>
              <w:instrText xml:space="preserve"> PAGEREF _Toc1328153 \h </w:instrText>
            </w:r>
            <w:r>
              <w:rPr>
                <w:webHidden/>
              </w:rPr>
            </w:r>
            <w:r>
              <w:rPr>
                <w:webHidden/>
              </w:rPr>
              <w:fldChar w:fldCharType="separate"/>
            </w:r>
            <w:r>
              <w:rPr>
                <w:webHidden/>
              </w:rPr>
              <w:t>8</w:t>
            </w:r>
            <w:r>
              <w:rPr>
                <w:webHidden/>
              </w:rPr>
              <w:fldChar w:fldCharType="end"/>
            </w:r>
          </w:hyperlink>
        </w:p>
        <w:p w14:paraId="79A3A14A" w14:textId="50C69EF0" w:rsidR="00B37984" w:rsidRDefault="00B37984">
          <w:pPr>
            <w:pStyle w:val="TM1"/>
            <w:tabs>
              <w:tab w:val="left" w:pos="480"/>
              <w:tab w:val="right" w:leader="dot" w:pos="8630"/>
            </w:tabs>
            <w:rPr>
              <w:rFonts w:asciiTheme="minorHAnsi" w:eastAsiaTheme="minorEastAsia" w:hAnsiTheme="minorHAnsi" w:cstheme="minorBidi"/>
              <w:b w:val="0"/>
              <w:bCs w:val="0"/>
              <w:iCs w:val="0"/>
              <w:sz w:val="24"/>
              <w:lang w:val="fr-CA" w:eastAsia="fr-FR"/>
            </w:rPr>
          </w:pPr>
          <w:hyperlink w:anchor="_Toc1328154" w:history="1">
            <w:r w:rsidRPr="00DF4B80">
              <w:rPr>
                <w:rStyle w:val="Lienhypertexte"/>
                <w:rFonts w:eastAsia="Times New Roman"/>
                <w:lang w:val="fr-CA" w:eastAsia="fr-FR"/>
              </w:rPr>
              <w:t>3.</w:t>
            </w:r>
            <w:r>
              <w:rPr>
                <w:rFonts w:asciiTheme="minorHAnsi" w:eastAsiaTheme="minorEastAsia" w:hAnsiTheme="minorHAnsi" w:cstheme="minorBidi"/>
                <w:b w:val="0"/>
                <w:bCs w:val="0"/>
                <w:iCs w:val="0"/>
                <w:sz w:val="24"/>
                <w:lang w:val="fr-CA" w:eastAsia="fr-FR"/>
              </w:rPr>
              <w:tab/>
            </w:r>
            <w:r w:rsidRPr="00DF4B80">
              <w:rPr>
                <w:rStyle w:val="Lienhypertexte"/>
                <w:rFonts w:eastAsia="Times New Roman"/>
                <w:lang w:val="fr-CA" w:eastAsia="fr-FR"/>
              </w:rPr>
              <w:t>Le droit québécois à la déconnexion: proposition de disposition constitutionnelle</w:t>
            </w:r>
            <w:r>
              <w:rPr>
                <w:webHidden/>
              </w:rPr>
              <w:tab/>
            </w:r>
            <w:r>
              <w:rPr>
                <w:webHidden/>
              </w:rPr>
              <w:fldChar w:fldCharType="begin"/>
            </w:r>
            <w:r>
              <w:rPr>
                <w:webHidden/>
              </w:rPr>
              <w:instrText xml:space="preserve"> PAGEREF _Toc1328154 \h </w:instrText>
            </w:r>
            <w:r>
              <w:rPr>
                <w:webHidden/>
              </w:rPr>
            </w:r>
            <w:r>
              <w:rPr>
                <w:webHidden/>
              </w:rPr>
              <w:fldChar w:fldCharType="separate"/>
            </w:r>
            <w:r>
              <w:rPr>
                <w:webHidden/>
              </w:rPr>
              <w:t>10</w:t>
            </w:r>
            <w:r>
              <w:rPr>
                <w:webHidden/>
              </w:rPr>
              <w:fldChar w:fldCharType="end"/>
            </w:r>
          </w:hyperlink>
        </w:p>
        <w:p w14:paraId="156F91B1" w14:textId="00C99F63" w:rsidR="00B37984" w:rsidRDefault="00B37984">
          <w:pPr>
            <w:pStyle w:val="TM1"/>
            <w:tabs>
              <w:tab w:val="right" w:leader="dot" w:pos="8630"/>
            </w:tabs>
            <w:rPr>
              <w:rFonts w:asciiTheme="minorHAnsi" w:eastAsiaTheme="minorEastAsia" w:hAnsiTheme="minorHAnsi" w:cstheme="minorBidi"/>
              <w:b w:val="0"/>
              <w:bCs w:val="0"/>
              <w:iCs w:val="0"/>
              <w:sz w:val="24"/>
              <w:lang w:val="fr-CA" w:eastAsia="fr-FR"/>
            </w:rPr>
          </w:pPr>
          <w:hyperlink w:anchor="_Toc1328155" w:history="1">
            <w:r w:rsidRPr="00DF4B80">
              <w:rPr>
                <w:rStyle w:val="Lienhypertexte"/>
                <w:rFonts w:eastAsia="Times New Roman"/>
                <w:lang w:val="fr-CA" w:eastAsia="fr-FR"/>
              </w:rPr>
              <w:t>Conclusion</w:t>
            </w:r>
            <w:r>
              <w:rPr>
                <w:webHidden/>
              </w:rPr>
              <w:tab/>
            </w:r>
            <w:r>
              <w:rPr>
                <w:webHidden/>
              </w:rPr>
              <w:fldChar w:fldCharType="begin"/>
            </w:r>
            <w:r>
              <w:rPr>
                <w:webHidden/>
              </w:rPr>
              <w:instrText xml:space="preserve"> PAGEREF _Toc1328155 \h </w:instrText>
            </w:r>
            <w:r>
              <w:rPr>
                <w:webHidden/>
              </w:rPr>
            </w:r>
            <w:r>
              <w:rPr>
                <w:webHidden/>
              </w:rPr>
              <w:fldChar w:fldCharType="separate"/>
            </w:r>
            <w:r>
              <w:rPr>
                <w:webHidden/>
              </w:rPr>
              <w:t>11</w:t>
            </w:r>
            <w:r>
              <w:rPr>
                <w:webHidden/>
              </w:rPr>
              <w:fldChar w:fldCharType="end"/>
            </w:r>
          </w:hyperlink>
        </w:p>
        <w:p w14:paraId="7434E5E0" w14:textId="00E886F0" w:rsidR="00B37984" w:rsidRDefault="00B37984">
          <w:pPr>
            <w:pStyle w:val="TM1"/>
            <w:tabs>
              <w:tab w:val="right" w:leader="dot" w:pos="8630"/>
            </w:tabs>
            <w:rPr>
              <w:rFonts w:asciiTheme="minorHAnsi" w:eastAsiaTheme="minorEastAsia" w:hAnsiTheme="minorHAnsi" w:cstheme="minorBidi"/>
              <w:b w:val="0"/>
              <w:bCs w:val="0"/>
              <w:iCs w:val="0"/>
              <w:sz w:val="24"/>
              <w:lang w:val="fr-CA" w:eastAsia="fr-FR"/>
            </w:rPr>
          </w:pPr>
          <w:hyperlink w:anchor="_Toc1328156" w:history="1">
            <w:r w:rsidRPr="00DF4B80">
              <w:rPr>
                <w:rStyle w:val="Lienhypertexte"/>
                <w:rFonts w:eastAsia="Times New Roman"/>
                <w:lang w:val="fr-CA" w:eastAsia="fr-FR"/>
              </w:rPr>
              <w:t>Liste des autorités citées</w:t>
            </w:r>
            <w:r>
              <w:rPr>
                <w:webHidden/>
              </w:rPr>
              <w:tab/>
            </w:r>
            <w:r>
              <w:rPr>
                <w:webHidden/>
              </w:rPr>
              <w:fldChar w:fldCharType="begin"/>
            </w:r>
            <w:r>
              <w:rPr>
                <w:webHidden/>
              </w:rPr>
              <w:instrText xml:space="preserve"> PAGEREF _Toc1328156 \h </w:instrText>
            </w:r>
            <w:r>
              <w:rPr>
                <w:webHidden/>
              </w:rPr>
            </w:r>
            <w:r>
              <w:rPr>
                <w:webHidden/>
              </w:rPr>
              <w:fldChar w:fldCharType="separate"/>
            </w:r>
            <w:r>
              <w:rPr>
                <w:webHidden/>
              </w:rPr>
              <w:t>12</w:t>
            </w:r>
            <w:r>
              <w:rPr>
                <w:webHidden/>
              </w:rPr>
              <w:fldChar w:fldCharType="end"/>
            </w:r>
          </w:hyperlink>
        </w:p>
        <w:p w14:paraId="2C63B385" w14:textId="2F0E300F" w:rsidR="00B37984" w:rsidRDefault="00B37984">
          <w:pPr>
            <w:pStyle w:val="TM1"/>
            <w:tabs>
              <w:tab w:val="right" w:leader="dot" w:pos="8630"/>
            </w:tabs>
            <w:rPr>
              <w:rFonts w:asciiTheme="minorHAnsi" w:eastAsiaTheme="minorEastAsia" w:hAnsiTheme="minorHAnsi" w:cstheme="minorBidi"/>
              <w:b w:val="0"/>
              <w:bCs w:val="0"/>
              <w:iCs w:val="0"/>
              <w:sz w:val="24"/>
              <w:lang w:val="fr-CA" w:eastAsia="fr-FR"/>
            </w:rPr>
          </w:pPr>
          <w:hyperlink w:anchor="_Toc1328157" w:history="1">
            <w:r w:rsidRPr="00DF4B80">
              <w:rPr>
                <w:rStyle w:val="Lienhypertexte"/>
                <w:rFonts w:eastAsia="Times New Roman"/>
                <w:lang w:val="fr-CA" w:eastAsia="fr-FR"/>
              </w:rPr>
              <w:t>Annexe A – Statistiques du sondage en ligne d’Emploi et Développement social Canada</w:t>
            </w:r>
            <w:r>
              <w:rPr>
                <w:webHidden/>
              </w:rPr>
              <w:tab/>
            </w:r>
            <w:r>
              <w:rPr>
                <w:webHidden/>
              </w:rPr>
              <w:fldChar w:fldCharType="begin"/>
            </w:r>
            <w:r>
              <w:rPr>
                <w:webHidden/>
              </w:rPr>
              <w:instrText xml:space="preserve"> PAGEREF _Toc1328157 \h </w:instrText>
            </w:r>
            <w:r>
              <w:rPr>
                <w:webHidden/>
              </w:rPr>
            </w:r>
            <w:r>
              <w:rPr>
                <w:webHidden/>
              </w:rPr>
              <w:fldChar w:fldCharType="separate"/>
            </w:r>
            <w:r>
              <w:rPr>
                <w:webHidden/>
              </w:rPr>
              <w:t>14</w:t>
            </w:r>
            <w:r>
              <w:rPr>
                <w:webHidden/>
              </w:rPr>
              <w:fldChar w:fldCharType="end"/>
            </w:r>
          </w:hyperlink>
        </w:p>
        <w:p w14:paraId="07EAB396" w14:textId="2534CBF9" w:rsidR="00B37984" w:rsidRDefault="00B37984">
          <w:pPr>
            <w:pStyle w:val="TM2"/>
            <w:tabs>
              <w:tab w:val="right" w:leader="dot" w:pos="8630"/>
            </w:tabs>
            <w:rPr>
              <w:rFonts w:asciiTheme="minorHAnsi" w:eastAsiaTheme="minorEastAsia" w:hAnsiTheme="minorHAnsi" w:cstheme="minorBidi"/>
              <w:bCs w:val="0"/>
              <w:i w:val="0"/>
              <w:sz w:val="24"/>
              <w:szCs w:val="24"/>
              <w:lang w:val="fr-CA" w:eastAsia="fr-FR"/>
            </w:rPr>
          </w:pPr>
          <w:hyperlink w:anchor="_Toc1328158" w:history="1">
            <w:r w:rsidRPr="00DF4B80">
              <w:rPr>
                <w:rStyle w:val="Lienhypertexte"/>
                <w:b/>
              </w:rPr>
              <w:t>Figure 1 </w:t>
            </w:r>
            <w:r w:rsidRPr="00DF4B80">
              <w:rPr>
                <w:rStyle w:val="Lienhypertexte"/>
              </w:rPr>
              <w:t>: Pourquoi les employés devraient-ils avoir le droit de refuser de répondre aux courriels, aux appels téléphoniques ou aux messages liés au travail en dehors des heures de travail?</w:t>
            </w:r>
            <w:r>
              <w:rPr>
                <w:webHidden/>
              </w:rPr>
              <w:tab/>
            </w:r>
            <w:r>
              <w:rPr>
                <w:webHidden/>
              </w:rPr>
              <w:fldChar w:fldCharType="begin"/>
            </w:r>
            <w:r>
              <w:rPr>
                <w:webHidden/>
              </w:rPr>
              <w:instrText xml:space="preserve"> PAGEREF _Toc1328158 \h </w:instrText>
            </w:r>
            <w:r>
              <w:rPr>
                <w:webHidden/>
              </w:rPr>
            </w:r>
            <w:r>
              <w:rPr>
                <w:webHidden/>
              </w:rPr>
              <w:fldChar w:fldCharType="separate"/>
            </w:r>
            <w:r>
              <w:rPr>
                <w:webHidden/>
              </w:rPr>
              <w:t>14</w:t>
            </w:r>
            <w:r>
              <w:rPr>
                <w:webHidden/>
              </w:rPr>
              <w:fldChar w:fldCharType="end"/>
            </w:r>
          </w:hyperlink>
        </w:p>
        <w:p w14:paraId="51F832CB" w14:textId="5588D2DA" w:rsidR="00B37984" w:rsidRDefault="00B37984">
          <w:pPr>
            <w:pStyle w:val="TM2"/>
            <w:tabs>
              <w:tab w:val="right" w:leader="dot" w:pos="8630"/>
            </w:tabs>
            <w:rPr>
              <w:rFonts w:asciiTheme="minorHAnsi" w:eastAsiaTheme="minorEastAsia" w:hAnsiTheme="minorHAnsi" w:cstheme="minorBidi"/>
              <w:bCs w:val="0"/>
              <w:i w:val="0"/>
              <w:sz w:val="24"/>
              <w:szCs w:val="24"/>
              <w:lang w:val="fr-CA" w:eastAsia="fr-FR"/>
            </w:rPr>
          </w:pPr>
          <w:hyperlink w:anchor="_Toc1328159" w:history="1">
            <w:r w:rsidRPr="00DF4B80">
              <w:rPr>
                <w:rStyle w:val="Lienhypertexte"/>
                <w:b/>
              </w:rPr>
              <w:t>Figure 2 </w:t>
            </w:r>
            <w:r w:rsidRPr="00DF4B80">
              <w:rPr>
                <w:rStyle w:val="Lienhypertexte"/>
              </w:rPr>
              <w:t>: Pourquoi les employés ne devraient-ils pas avoir le droit de refuser de répondre aux courriels, aux appels téléphoniques ou aux messages liés au travail en dehors des heures de travail?</w:t>
            </w:r>
            <w:r>
              <w:rPr>
                <w:webHidden/>
              </w:rPr>
              <w:tab/>
            </w:r>
            <w:r>
              <w:rPr>
                <w:webHidden/>
              </w:rPr>
              <w:fldChar w:fldCharType="begin"/>
            </w:r>
            <w:r>
              <w:rPr>
                <w:webHidden/>
              </w:rPr>
              <w:instrText xml:space="preserve"> PAGEREF _Toc1328159 \h </w:instrText>
            </w:r>
            <w:r>
              <w:rPr>
                <w:webHidden/>
              </w:rPr>
            </w:r>
            <w:r>
              <w:rPr>
                <w:webHidden/>
              </w:rPr>
              <w:fldChar w:fldCharType="separate"/>
            </w:r>
            <w:r>
              <w:rPr>
                <w:webHidden/>
              </w:rPr>
              <w:t>14</w:t>
            </w:r>
            <w:r>
              <w:rPr>
                <w:webHidden/>
              </w:rPr>
              <w:fldChar w:fldCharType="end"/>
            </w:r>
          </w:hyperlink>
        </w:p>
        <w:p w14:paraId="0F8B19FA" w14:textId="2BFA23C7" w:rsidR="00F12903" w:rsidRDefault="00F12903">
          <w:r>
            <w:rPr>
              <w:b/>
              <w:bCs/>
            </w:rPr>
            <w:fldChar w:fldCharType="end"/>
          </w:r>
        </w:p>
      </w:sdtContent>
    </w:sdt>
    <w:p w14:paraId="66703CBF" w14:textId="77777777" w:rsidR="00697342" w:rsidRDefault="00697342">
      <w:pPr>
        <w:rPr>
          <w:rFonts w:ascii="Times New Roman" w:eastAsia="Times New Roman" w:hAnsi="Times New Roman" w:cs="Times New Roman"/>
          <w:b/>
          <w:bCs/>
          <w:noProof w:val="0"/>
          <w:color w:val="000000"/>
          <w:lang w:val="fr-CA" w:eastAsia="fr-FR"/>
        </w:rPr>
      </w:pPr>
    </w:p>
    <w:p w14:paraId="7AD75CAD" w14:textId="77777777" w:rsidR="00EA25AF" w:rsidRDefault="00EA25AF">
      <w:pPr>
        <w:rPr>
          <w:rFonts w:ascii="Times New Roman" w:eastAsia="Times New Roman" w:hAnsi="Times New Roman" w:cs="Times New Roman"/>
          <w:b/>
          <w:bCs/>
          <w:noProof w:val="0"/>
          <w:color w:val="000000"/>
          <w:lang w:val="fr-CA" w:eastAsia="fr-FR"/>
        </w:rPr>
      </w:pPr>
      <w:r>
        <w:rPr>
          <w:rFonts w:ascii="Times New Roman" w:eastAsia="Times New Roman" w:hAnsi="Times New Roman" w:cs="Times New Roman"/>
          <w:b/>
          <w:bCs/>
          <w:noProof w:val="0"/>
          <w:color w:val="000000"/>
          <w:lang w:val="fr-CA" w:eastAsia="fr-FR"/>
        </w:rPr>
        <w:br w:type="page"/>
      </w:r>
    </w:p>
    <w:p w14:paraId="330B4B44" w14:textId="77777777" w:rsidR="00D42F44" w:rsidRPr="00D42F44" w:rsidRDefault="00D42F44" w:rsidP="00EF1407">
      <w:pPr>
        <w:jc w:val="center"/>
        <w:rPr>
          <w:rFonts w:ascii="Times New Roman" w:eastAsia="Times New Roman" w:hAnsi="Times New Roman" w:cs="Times New Roman"/>
          <w:noProof w:val="0"/>
          <w:lang w:val="fr-CA" w:eastAsia="fr-FR"/>
        </w:rPr>
      </w:pPr>
      <w:r w:rsidRPr="00D42F44">
        <w:rPr>
          <w:rFonts w:ascii="Times New Roman" w:eastAsia="Times New Roman" w:hAnsi="Times New Roman" w:cs="Times New Roman"/>
          <w:b/>
          <w:bCs/>
          <w:noProof w:val="0"/>
          <w:color w:val="000000"/>
          <w:lang w:val="fr-CA" w:eastAsia="fr-FR"/>
        </w:rPr>
        <w:lastRenderedPageBreak/>
        <w:t>Le travail à l’ère numérique</w:t>
      </w:r>
      <w:r w:rsidR="00D651C9">
        <w:rPr>
          <w:rFonts w:ascii="Times New Roman" w:eastAsia="Times New Roman" w:hAnsi="Times New Roman" w:cs="Times New Roman"/>
          <w:b/>
          <w:bCs/>
          <w:noProof w:val="0"/>
          <w:color w:val="000000"/>
          <w:lang w:val="fr-CA" w:eastAsia="fr-FR"/>
        </w:rPr>
        <w:t xml:space="preserve"> : proposition d’ajout du droit </w:t>
      </w:r>
      <w:r w:rsidR="00D651C9">
        <w:rPr>
          <w:rFonts w:ascii="Times New Roman" w:eastAsia="Times New Roman" w:hAnsi="Times New Roman" w:cs="Times New Roman"/>
          <w:b/>
          <w:bCs/>
          <w:noProof w:val="0"/>
          <w:color w:val="000000"/>
          <w:lang w:val="fr-CA" w:eastAsia="fr-FR"/>
        </w:rPr>
        <w:br/>
        <w:t xml:space="preserve">à la déconnexion </w:t>
      </w:r>
      <w:r w:rsidRPr="00D42F44">
        <w:rPr>
          <w:rFonts w:ascii="Times New Roman" w:eastAsia="Times New Roman" w:hAnsi="Times New Roman" w:cs="Times New Roman"/>
          <w:b/>
          <w:bCs/>
          <w:noProof w:val="0"/>
          <w:color w:val="000000"/>
          <w:lang w:val="fr-CA" w:eastAsia="fr-FR"/>
        </w:rPr>
        <w:t>dans la Constitution du Québec</w:t>
      </w:r>
    </w:p>
    <w:p w14:paraId="53533144" w14:textId="77777777" w:rsidR="00D42F44" w:rsidRDefault="00D42F44" w:rsidP="00EF1407">
      <w:pPr>
        <w:pStyle w:val="Titre1"/>
        <w:rPr>
          <w:rFonts w:eastAsia="Times New Roman"/>
          <w:lang w:val="fr-CA" w:eastAsia="fr-FR"/>
        </w:rPr>
      </w:pPr>
      <w:bookmarkStart w:id="0" w:name="_Toc1328146"/>
      <w:r w:rsidRPr="00D42F44">
        <w:rPr>
          <w:rFonts w:eastAsia="Times New Roman"/>
          <w:lang w:val="fr-CA" w:eastAsia="fr-FR"/>
        </w:rPr>
        <w:t>Introduction</w:t>
      </w:r>
      <w:bookmarkEnd w:id="0"/>
    </w:p>
    <w:p w14:paraId="3995D512" w14:textId="20C9B571" w:rsidR="00253129" w:rsidRPr="00253129" w:rsidRDefault="00253129" w:rsidP="00253129">
      <w:pPr>
        <w:pStyle w:val="Style1"/>
        <w:numPr>
          <w:ilvl w:val="0"/>
          <w:numId w:val="0"/>
        </w:numPr>
      </w:pPr>
      <w:r w:rsidRPr="00253129">
        <w:t xml:space="preserve">L’évolution du milieu de travail vers une numérisation des modes de communication crée un besoin de réglementer </w:t>
      </w:r>
      <w:r w:rsidR="003E786D">
        <w:t xml:space="preserve">leur </w:t>
      </w:r>
      <w:r w:rsidRPr="00253129">
        <w:t>utilisation afin de respecter la santé et le bien-être des travailleurs.</w:t>
      </w:r>
    </w:p>
    <w:p w14:paraId="441BE570" w14:textId="77777777" w:rsidR="00253129" w:rsidRPr="00D42F44" w:rsidRDefault="00253129" w:rsidP="00253129">
      <w:pPr>
        <w:pStyle w:val="Style1"/>
        <w:numPr>
          <w:ilvl w:val="0"/>
          <w:numId w:val="0"/>
        </w:numPr>
      </w:pPr>
      <w:r w:rsidRPr="00253129">
        <w:t>Le présent mémoire vise à intégrer le droit à la déconnexion à une éventuelle constitution québécoise. Aux fins de ce mémoire, le droit à la déconnexion est défini comme le principe assurant aux travailleurs d’être coupé de toute communication numérique relative à son emploi et sans obligation d’être accessible en-dehors des heures de travail.</w:t>
      </w:r>
    </w:p>
    <w:p w14:paraId="7D3DC19E" w14:textId="77777777" w:rsidR="0025175A" w:rsidRDefault="0025175A" w:rsidP="00EF1407">
      <w:pPr>
        <w:pStyle w:val="Titre1"/>
        <w:numPr>
          <w:ilvl w:val="0"/>
          <w:numId w:val="2"/>
        </w:numPr>
        <w:rPr>
          <w:rFonts w:eastAsia="Times New Roman"/>
          <w:lang w:val="fr-CA" w:eastAsia="fr-FR"/>
        </w:rPr>
      </w:pPr>
      <w:bookmarkStart w:id="1" w:name="_Toc1328147"/>
      <w:r>
        <w:rPr>
          <w:rFonts w:eastAsia="Times New Roman"/>
          <w:lang w:val="fr-CA" w:eastAsia="fr-FR"/>
        </w:rPr>
        <w:t>Le milieu du travail à l’ère numérique : état des lieux</w:t>
      </w:r>
      <w:bookmarkEnd w:id="1"/>
    </w:p>
    <w:p w14:paraId="4539B2A0" w14:textId="77777777" w:rsidR="00EF1407" w:rsidRPr="00EF1407" w:rsidRDefault="00EF1407" w:rsidP="00EF1407"/>
    <w:p w14:paraId="51867113" w14:textId="77481BA7" w:rsidR="00D42F44" w:rsidRPr="00D42F44" w:rsidRDefault="00697342" w:rsidP="00EF1407">
      <w:pPr>
        <w:pStyle w:val="Titre2"/>
        <w:numPr>
          <w:ilvl w:val="1"/>
          <w:numId w:val="8"/>
        </w:numPr>
        <w:rPr>
          <w:rFonts w:eastAsia="Times New Roman"/>
          <w:lang w:val="fr-CA" w:eastAsia="fr-FR"/>
        </w:rPr>
      </w:pPr>
      <w:bookmarkStart w:id="2" w:name="_Toc1328148"/>
      <w:r>
        <w:rPr>
          <w:rFonts w:eastAsia="Times New Roman"/>
          <w:shd w:val="clear" w:color="auto" w:fill="FFFFFF"/>
          <w:lang w:val="fr-CA" w:eastAsia="fr-FR"/>
        </w:rPr>
        <w:t>L’</w:t>
      </w:r>
      <w:r w:rsidR="0088662A">
        <w:rPr>
          <w:rFonts w:eastAsia="Times New Roman"/>
          <w:shd w:val="clear" w:color="auto" w:fill="FFFFFF"/>
          <w:lang w:val="fr-CA" w:eastAsia="fr-FR"/>
        </w:rPr>
        <w:t>hyper-connectivité</w:t>
      </w:r>
      <w:r>
        <w:rPr>
          <w:rFonts w:eastAsia="Times New Roman"/>
          <w:shd w:val="clear" w:color="auto" w:fill="FFFFFF"/>
          <w:lang w:val="fr-CA" w:eastAsia="fr-FR"/>
        </w:rPr>
        <w:t> : un enjeu</w:t>
      </w:r>
      <w:r w:rsidR="00710FE3">
        <w:rPr>
          <w:rFonts w:eastAsia="Times New Roman"/>
          <w:shd w:val="clear" w:color="auto" w:fill="FFFFFF"/>
          <w:lang w:val="fr-CA" w:eastAsia="fr-FR"/>
        </w:rPr>
        <w:t xml:space="preserve"> </w:t>
      </w:r>
      <w:r w:rsidR="00EF1407">
        <w:rPr>
          <w:rFonts w:eastAsia="Times New Roman"/>
          <w:shd w:val="clear" w:color="auto" w:fill="FFFFFF"/>
          <w:lang w:val="fr-CA" w:eastAsia="fr-FR"/>
        </w:rPr>
        <w:t>psycho-social</w:t>
      </w:r>
      <w:bookmarkEnd w:id="2"/>
    </w:p>
    <w:p w14:paraId="2DACD4A6" w14:textId="380FFE2F" w:rsidR="00D42F44" w:rsidRPr="00D42F44" w:rsidRDefault="00D42F44" w:rsidP="000E4586">
      <w:pPr>
        <w:pStyle w:val="Style1"/>
      </w:pPr>
      <w:r w:rsidRPr="00D42F44">
        <w:t xml:space="preserve">Le droit du travail s’est développé en réponse à l’avènement de l’industrialisation. Les lois qui en ont découlés sont le reflet d’une époque ouvrière portant ses propres enjeux. L’avènement relativement récent des </w:t>
      </w:r>
      <w:r w:rsidR="007D498C">
        <w:t>TIC</w:t>
      </w:r>
      <w:r w:rsidR="00B97F0B">
        <w:t>,</w:t>
      </w:r>
      <w:r w:rsidR="005D76AF" w:rsidRPr="0032547B">
        <w:rPr>
          <w:rStyle w:val="Appelnotedebasdep"/>
        </w:rPr>
        <w:footnoteReference w:id="1"/>
      </w:r>
      <w:r w:rsidRPr="00D42F44">
        <w:t xml:space="preserve"> </w:t>
      </w:r>
      <w:r>
        <w:t>l</w:t>
      </w:r>
      <w:r w:rsidRPr="00D42F44">
        <w:t>’accélération du rythme de travail</w:t>
      </w:r>
      <w:r w:rsidR="00B97F0B" w:rsidRPr="0032547B">
        <w:rPr>
          <w:rStyle w:val="Appelnotedebasdep"/>
        </w:rPr>
        <w:footnoteReference w:id="2"/>
      </w:r>
      <w:r w:rsidRPr="00D42F44">
        <w:t xml:space="preserve"> et la tertiarisation des emplois au Québec</w:t>
      </w:r>
      <w:r w:rsidR="00B97F0B" w:rsidRPr="0032547B">
        <w:rPr>
          <w:rStyle w:val="Appelnotedebasdep"/>
        </w:rPr>
        <w:footnoteReference w:id="3"/>
      </w:r>
      <w:r w:rsidRPr="00D42F44">
        <w:t xml:space="preserve"> sont quelques-un</w:t>
      </w:r>
      <w:r w:rsidR="000E4586">
        <w:t>s</w:t>
      </w:r>
      <w:r w:rsidRPr="00D42F44">
        <w:t xml:space="preserve"> des facteurs qui pousse notre société à redéfinir la structure traditionnelle du travail.</w:t>
      </w:r>
    </w:p>
    <w:p w14:paraId="5A66A99D" w14:textId="1B7EACCB" w:rsidR="00D42F44" w:rsidRPr="00D42F44" w:rsidRDefault="00D42F44" w:rsidP="000E4586">
      <w:pPr>
        <w:pStyle w:val="Style1"/>
      </w:pPr>
      <w:r w:rsidRPr="00D42F44">
        <w:t xml:space="preserve">Ces changements dans la structure et l’organisation du travail s’accompagne de nouveaux risques liés à l’emploi, notamment en ce qui a trait à la santé mentale.  L’Organisation </w:t>
      </w:r>
      <w:r w:rsidR="007D498C">
        <w:t>m</w:t>
      </w:r>
      <w:r w:rsidRPr="00D42F44">
        <w:t xml:space="preserve">ondiale de la </w:t>
      </w:r>
      <w:r w:rsidR="007D498C">
        <w:t>s</w:t>
      </w:r>
      <w:r w:rsidRPr="00D42F44">
        <w:t>anté a récemment fait de la santé mentale des travailleurs l’une de ses priorités en soulignant que cette problématique longtemps négligé</w:t>
      </w:r>
      <w:r w:rsidR="000E4586">
        <w:t>e</w:t>
      </w:r>
      <w:r w:rsidRPr="00D42F44">
        <w:t>, capte de plus en plus l’attention pour des raison évidentes de santé, mais également de productivité.</w:t>
      </w:r>
      <w:r w:rsidR="00175993" w:rsidRPr="0032547B">
        <w:rPr>
          <w:rStyle w:val="Appelnotedebasdep"/>
        </w:rPr>
        <w:footnoteReference w:id="4"/>
      </w:r>
      <w:r w:rsidRPr="00D42F44">
        <w:t xml:space="preserve"> Au Canada, chaque année</w:t>
      </w:r>
      <w:r w:rsidR="00B97F0B">
        <w:t>,</w:t>
      </w:r>
      <w:r w:rsidRPr="00D42F44">
        <w:t xml:space="preserve"> 20% des travailleurs qui souffrent d’une maladie reliée au stress. Par ailleurs les demandes de règlement pour raison de santé mentale sont celles qui progressent le plus rapidement au pays. Au total, la maladie </w:t>
      </w:r>
      <w:r w:rsidRPr="00D42F44">
        <w:lastRenderedPageBreak/>
        <w:t>mentale coûte 16 milliards de dollars par année aux entreprises canadiennes. Soit entre 4 et 12% des coûts salariaux au Canada.</w:t>
      </w:r>
      <w:r w:rsidR="00175993" w:rsidRPr="0032547B">
        <w:rPr>
          <w:rStyle w:val="Appelnotedebasdep"/>
        </w:rPr>
        <w:footnoteReference w:id="5"/>
      </w:r>
    </w:p>
    <w:p w14:paraId="2F85C68D" w14:textId="168E04F0" w:rsidR="00D42F44" w:rsidRPr="00D42F44" w:rsidRDefault="00D42F44" w:rsidP="000E4586">
      <w:pPr>
        <w:pStyle w:val="Style1"/>
      </w:pPr>
      <w:r w:rsidRPr="00D42F44">
        <w:t>Différents facteurs peuvent expliquer ces chiffres sur la santé mentale: la surcharge de travail, la faible reconnaissance, les mauvaises relations de travail, etc.</w:t>
      </w:r>
      <w:r w:rsidR="00175993" w:rsidRPr="0032547B">
        <w:rPr>
          <w:rStyle w:val="Appelnotedebasdep"/>
        </w:rPr>
        <w:footnoteReference w:id="6"/>
      </w:r>
      <w:r w:rsidRPr="00D42F44">
        <w:t xml:space="preserve"> Or, plusieurs entreprises et législatures ont identifié </w:t>
      </w:r>
      <w:r w:rsidRPr="000E4586">
        <w:t>l’</w:t>
      </w:r>
      <w:r w:rsidR="0088662A">
        <w:t>hyper-connectivité</w:t>
      </w:r>
      <w:r w:rsidRPr="00D42F44">
        <w:t xml:space="preserve"> comme l’une des sources pouvant nuire à la santé mentale au travail</w:t>
      </w:r>
      <w:r w:rsidR="007D498C">
        <w:t>. Au travail, cela</w:t>
      </w:r>
      <w:r w:rsidRPr="00D42F44">
        <w:t xml:space="preserve"> se traduit par une disponibilité constante du travailleur en dehors des heures du travail via les TIC ce qui mène à un décloisonnement entre l’espace travail et la vie privée.</w:t>
      </w:r>
      <w:r w:rsidR="00175993" w:rsidRPr="0032547B">
        <w:rPr>
          <w:rStyle w:val="Appelnotedebasdep"/>
        </w:rPr>
        <w:footnoteReference w:id="7"/>
      </w:r>
    </w:p>
    <w:p w14:paraId="7BAFEACC" w14:textId="42E66A81" w:rsidR="00D42F44" w:rsidRDefault="007D498C" w:rsidP="000E4586">
      <w:pPr>
        <w:pStyle w:val="Style1"/>
      </w:pPr>
      <w:r>
        <w:t>L</w:t>
      </w:r>
      <w:r w:rsidR="006335F6">
        <w:t>’</w:t>
      </w:r>
      <w:r w:rsidR="0088662A">
        <w:t>hyper-connectivité</w:t>
      </w:r>
      <w:r w:rsidR="00D42F44" w:rsidRPr="00D42F44">
        <w:t>, volontaire ou non, peut affecter le bien</w:t>
      </w:r>
      <w:r w:rsidR="0025175A">
        <w:t>-</w:t>
      </w:r>
      <w:r w:rsidR="00D42F44" w:rsidRPr="00D42F44">
        <w:t>être de l’individu à différents niveaux notamment</w:t>
      </w:r>
      <w:r w:rsidR="006335F6">
        <w:t xml:space="preserve"> u</w:t>
      </w:r>
      <w:r w:rsidR="00D42F44" w:rsidRPr="00D42F44">
        <w:t>ne augmentation du stress et une diminution dans les performances</w:t>
      </w:r>
      <w:r w:rsidR="00D0230F">
        <w:t>,</w:t>
      </w:r>
      <w:r w:rsidR="00175993" w:rsidRPr="0032547B">
        <w:rPr>
          <w:rStyle w:val="Appelnotedebasdep"/>
        </w:rPr>
        <w:footnoteReference w:id="8"/>
      </w:r>
      <w:r w:rsidR="00D42F44" w:rsidRPr="00D42F44">
        <w:t xml:space="preserve"> </w:t>
      </w:r>
      <w:r w:rsidR="00D0230F">
        <w:t>u</w:t>
      </w:r>
      <w:r w:rsidR="00D42F44" w:rsidRPr="00D42F44">
        <w:t>ne diminution satisfaction au niveau familial,</w:t>
      </w:r>
      <w:r w:rsidR="00175993" w:rsidRPr="0032547B">
        <w:rPr>
          <w:rStyle w:val="Appelnotedebasdep"/>
        </w:rPr>
        <w:footnoteReference w:id="9"/>
      </w:r>
      <w:r w:rsidR="00D42F44" w:rsidRPr="00D42F44">
        <w:t xml:space="preserve"> une diminution dans le niveau de satisfaction généra</w:t>
      </w:r>
      <w:r w:rsidR="00175993">
        <w:t>l</w:t>
      </w:r>
      <w:r w:rsidR="00175993" w:rsidRPr="0032547B">
        <w:rPr>
          <w:rStyle w:val="Appelnotedebasdep"/>
        </w:rPr>
        <w:footnoteReference w:id="10"/>
      </w:r>
      <w:r w:rsidR="00D0230F">
        <w:t>, une diminution de la santé et du bien-être</w:t>
      </w:r>
      <w:r w:rsidR="00D0230F" w:rsidRPr="0032547B">
        <w:rPr>
          <w:rStyle w:val="Appelnotedebasdep"/>
        </w:rPr>
        <w:footnoteReference w:id="11"/>
      </w:r>
      <w:r w:rsidR="00D42F44" w:rsidRPr="00D42F44">
        <w:t xml:space="preserve"> et un</w:t>
      </w:r>
      <w:r w:rsidR="00C06F52">
        <w:t>e</w:t>
      </w:r>
      <w:r w:rsidR="00D42F44" w:rsidRPr="00D42F44">
        <w:t xml:space="preserve"> diminution dans la qualité du sommeil</w:t>
      </w:r>
      <w:r w:rsidR="00175993">
        <w:t>.</w:t>
      </w:r>
      <w:r w:rsidR="00175993" w:rsidRPr="0032547B">
        <w:rPr>
          <w:rStyle w:val="Appelnotedebasdep"/>
        </w:rPr>
        <w:footnoteReference w:id="12"/>
      </w:r>
      <w:r w:rsidR="00D0230F">
        <w:t xml:space="preserve"> </w:t>
      </w:r>
    </w:p>
    <w:p w14:paraId="26CF8CE5" w14:textId="3EA4E241" w:rsidR="00D42F44" w:rsidRPr="000E4586" w:rsidRDefault="007D498C" w:rsidP="00D42F44">
      <w:pPr>
        <w:pStyle w:val="Style1"/>
      </w:pPr>
      <w:r>
        <w:t>Ainsi, les</w:t>
      </w:r>
      <w:r w:rsidR="00D42F44" w:rsidRPr="00D42F44">
        <w:t xml:space="preserve"> aspects psychologiques </w:t>
      </w:r>
      <w:r w:rsidR="006335F6">
        <w:t>des</w:t>
      </w:r>
      <w:r w:rsidR="00D42F44" w:rsidRPr="00D42F44">
        <w:t xml:space="preserve"> probl</w:t>
      </w:r>
      <w:r w:rsidR="006335F6">
        <w:t>èmes posés par</w:t>
      </w:r>
      <w:r w:rsidR="00D42F44" w:rsidRPr="00D42F44">
        <w:t xml:space="preserve"> l’</w:t>
      </w:r>
      <w:r w:rsidR="0088662A">
        <w:t>hyper-connectivité</w:t>
      </w:r>
      <w:r w:rsidR="00D42F44" w:rsidRPr="00D42F44">
        <w:t xml:space="preserve"> expriment la nécessité d’une réforme juridique et de la création d’un droit à la déconnexion.</w:t>
      </w:r>
    </w:p>
    <w:p w14:paraId="035CFF8B" w14:textId="77777777" w:rsidR="00D42F44" w:rsidRPr="007F19EF" w:rsidRDefault="00D42F44" w:rsidP="007D4C08">
      <w:pPr>
        <w:pStyle w:val="Titre2"/>
        <w:numPr>
          <w:ilvl w:val="1"/>
          <w:numId w:val="8"/>
        </w:numPr>
        <w:ind w:left="851" w:hanging="491"/>
      </w:pPr>
      <w:bookmarkStart w:id="3" w:name="_Toc1328149"/>
      <w:r w:rsidRPr="007F19EF">
        <w:lastRenderedPageBreak/>
        <w:t>Consultation publique</w:t>
      </w:r>
      <w:bookmarkEnd w:id="3"/>
    </w:p>
    <w:p w14:paraId="21C41C83" w14:textId="485B23D2" w:rsidR="00D42F44" w:rsidRPr="00D42F44" w:rsidRDefault="00D42F44" w:rsidP="007F19EF">
      <w:pPr>
        <w:pStyle w:val="Style1"/>
      </w:pPr>
      <w:r w:rsidRPr="00D42F44">
        <w:t xml:space="preserve">En janvier 2018, </w:t>
      </w:r>
      <w:r w:rsidR="00C62F5C">
        <w:t>Emploi et Développement social Canada</w:t>
      </w:r>
      <w:r w:rsidRPr="00D42F44">
        <w:t xml:space="preserve"> a tenu une consultation publique sur la modernisation des normes du travail fédérales. À l'issu de celle-ci, deux </w:t>
      </w:r>
      <w:r w:rsidR="007D498C">
        <w:t>grandes tendances ont été dégagées</w:t>
      </w:r>
      <w:r w:rsidRPr="00D42F44">
        <w:t xml:space="preserve">. D'abord, </w:t>
      </w:r>
      <w:r w:rsidR="002C6198">
        <w:t>« </w:t>
      </w:r>
      <w:r w:rsidRPr="00D42F44">
        <w:t>à mesure que les charges de travail s’alourdissent, les employés ont besoin de temps pour se reposer à l’extérieur des heures de travail</w:t>
      </w:r>
      <w:r w:rsidR="002C6198">
        <w:t> »</w:t>
      </w:r>
      <w:r w:rsidRPr="00D42F44">
        <w:t xml:space="preserve">. De surcroît, </w:t>
      </w:r>
      <w:r w:rsidR="008114F6">
        <w:t>« </w:t>
      </w:r>
      <w:r w:rsidRPr="00D42F44">
        <w:t>le fait de répondre à des courriels et à des appels téléphoniques se répercute sur la qualité du temps passé avec la famille et du temps personnel, est une source de stress et réduit l’efficacité du temps de repos</w:t>
      </w:r>
      <w:r w:rsidR="00AE2104">
        <w:t> »</w:t>
      </w:r>
      <w:r w:rsidRPr="00D42F44">
        <w:t>.</w:t>
      </w:r>
      <w:r w:rsidR="008114F6" w:rsidRPr="0032547B">
        <w:rPr>
          <w:rStyle w:val="Appelnotedebasdep"/>
        </w:rPr>
        <w:footnoteReference w:id="13"/>
      </w:r>
    </w:p>
    <w:p w14:paraId="7B869D16" w14:textId="126791C0" w:rsidR="00D42F44" w:rsidRPr="00D42F44" w:rsidRDefault="003D42F2" w:rsidP="007F19EF">
      <w:pPr>
        <w:pStyle w:val="Style1"/>
      </w:pPr>
      <w:r>
        <w:t>D’ailleurs</w:t>
      </w:r>
      <w:r w:rsidR="00D42F44" w:rsidRPr="00D42F44">
        <w:t xml:space="preserve">, la majorité des répondants au sondage en ligne ont signalé être en faveur d'un droit à la déconnexion. </w:t>
      </w:r>
      <w:r w:rsidR="00F933DA">
        <w:t xml:space="preserve">Pas moins de </w:t>
      </w:r>
      <w:r w:rsidR="00D42F44" w:rsidRPr="00D42F44">
        <w:t xml:space="preserve">93% d'entre eux ont affirmé être en faveur d'un droit de refuser de répondre aux courriels, aux appels téléphoniques et aux messages liés au travail en dehors des heures de travail alors que 79% pensent que </w:t>
      </w:r>
      <w:r w:rsidR="008114F6">
        <w:t>« </w:t>
      </w:r>
      <w:r w:rsidR="00D42F44" w:rsidRPr="00D42F44">
        <w:t>les employeurs devraient avoir des politiques pour limiter l’utilisation des outils technologiques reliés au travail après les heures de travail</w:t>
      </w:r>
      <w:r w:rsidR="008114F6">
        <w:t> ».</w:t>
      </w:r>
      <w:r w:rsidR="008114F6" w:rsidRPr="0032547B">
        <w:rPr>
          <w:rStyle w:val="Appelnotedebasdep"/>
        </w:rPr>
        <w:footnoteReference w:id="14"/>
      </w:r>
    </w:p>
    <w:p w14:paraId="76454A7A" w14:textId="77777777" w:rsidR="00D42F44" w:rsidRPr="00D42F44" w:rsidRDefault="00D42F44" w:rsidP="007F19EF">
      <w:pPr>
        <w:pStyle w:val="Style1"/>
      </w:pPr>
      <w:r w:rsidRPr="00D42F44">
        <w:t>En répondant au sondage, une partie de la population canadienne s'est positionnée sur les raisons justifiant qu'un employé se prévale ou non du droit à la déconnexion (voir annexe 1). L'empiètement sur la vie familiale (28%) et le besoin de repos sont les principales (25%) sont les raisons les plus souvent évoquées.</w:t>
      </w:r>
    </w:p>
    <w:p w14:paraId="5B472354" w14:textId="77777777" w:rsidR="00D42F44" w:rsidRPr="00D42F44" w:rsidRDefault="00D42F44" w:rsidP="00EF1407">
      <w:pPr>
        <w:pStyle w:val="Titre2"/>
        <w:numPr>
          <w:ilvl w:val="1"/>
          <w:numId w:val="8"/>
        </w:numPr>
        <w:rPr>
          <w:rFonts w:eastAsia="Times New Roman"/>
          <w:lang w:val="fr-CA" w:eastAsia="fr-FR"/>
        </w:rPr>
      </w:pPr>
      <w:bookmarkStart w:id="4" w:name="_Toc1328150"/>
      <w:r w:rsidRPr="00D42F44">
        <w:rPr>
          <w:rFonts w:eastAsia="Times New Roman"/>
          <w:lang w:val="fr-CA" w:eastAsia="fr-FR"/>
        </w:rPr>
        <w:t xml:space="preserve">Initiatives organisationnelles: réponses partielles et </w:t>
      </w:r>
      <w:r w:rsidRPr="005F2935">
        <w:t>insuffisantes</w:t>
      </w:r>
      <w:r w:rsidRPr="00D42F44">
        <w:rPr>
          <w:rFonts w:eastAsia="Times New Roman"/>
          <w:lang w:val="fr-CA" w:eastAsia="fr-FR"/>
        </w:rPr>
        <w:t xml:space="preserve"> au problème</w:t>
      </w:r>
      <w:bookmarkEnd w:id="4"/>
    </w:p>
    <w:p w14:paraId="532334D7" w14:textId="1ADAAD67" w:rsidR="008054B4" w:rsidRDefault="00D42F44" w:rsidP="00181CE2">
      <w:pPr>
        <w:pStyle w:val="Style1"/>
      </w:pPr>
      <w:r w:rsidRPr="00D42F44">
        <w:t>Pour répondre aux effets délétères de l'</w:t>
      </w:r>
      <w:r w:rsidR="0088662A">
        <w:t>hyper-connectivité</w:t>
      </w:r>
      <w:r w:rsidR="00B909DE">
        <w:t xml:space="preserve"> </w:t>
      </w:r>
      <w:r w:rsidRPr="00D42F44">
        <w:t xml:space="preserve">plusieurs solutions sont envisagées aux plans individuel, organisationnel, politique et juridique. </w:t>
      </w:r>
      <w:r w:rsidR="00B909DE">
        <w:t xml:space="preserve">Par ailleurs, </w:t>
      </w:r>
      <w:r w:rsidRPr="00D42F44">
        <w:t xml:space="preserve">Chris Higgins </w:t>
      </w:r>
      <w:r w:rsidR="005F2935">
        <w:t>souligne</w:t>
      </w:r>
      <w:r w:rsidRPr="00D42F44">
        <w:t xml:space="preserve"> que</w:t>
      </w:r>
      <w:r w:rsidR="00C62F5C">
        <w:t> :</w:t>
      </w:r>
      <w:r w:rsidR="0066180D">
        <w:t xml:space="preserve"> « [l]</w:t>
      </w:r>
      <w:r w:rsidRPr="0066180D">
        <w:t>es personnes, les familles, les employeurs et les gouvernements peuvent tous intervenir pour atténuer le stress et profiter des retombées de leurs actions, dont la plupart entraîneront des économies à court et à long terme.</w:t>
      </w:r>
      <w:r w:rsidR="0066180D">
        <w:t> »</w:t>
      </w:r>
      <w:r w:rsidR="00DF2CE7" w:rsidRPr="0032547B">
        <w:rPr>
          <w:rStyle w:val="Appelnotedebasdep"/>
        </w:rPr>
        <w:footnoteReference w:id="15"/>
      </w:r>
      <w:r w:rsidR="0066180D">
        <w:t xml:space="preserve"> </w:t>
      </w:r>
      <w:r w:rsidRPr="00D42F44">
        <w:t xml:space="preserve">Parmi les principaux facteurs de stress reliés au travail, le rapport met de l'avant la surcharge des rôles et l'interférence </w:t>
      </w:r>
      <w:r w:rsidR="00EE263F">
        <w:t>de la vie professionnelles dans la vie personnelle</w:t>
      </w:r>
      <w:r w:rsidRPr="00D42F44">
        <w:t xml:space="preserve">. </w:t>
      </w:r>
    </w:p>
    <w:p w14:paraId="08AF0875" w14:textId="77777777" w:rsidR="00D42F44" w:rsidRPr="00D42F44" w:rsidRDefault="00D42F44" w:rsidP="008054B4">
      <w:pPr>
        <w:pStyle w:val="Style1"/>
      </w:pPr>
      <w:r w:rsidRPr="00D42F44">
        <w:lastRenderedPageBreak/>
        <w:t xml:space="preserve">Différentes initiatives sont déjà mises en place pour améliorer la conciliation </w:t>
      </w:r>
      <w:r w:rsidR="00EE263F">
        <w:t>entre la vie professionnelle et personnelle</w:t>
      </w:r>
      <w:r w:rsidRPr="00D42F44">
        <w:t>.</w:t>
      </w:r>
      <w:r w:rsidR="005A168F" w:rsidRPr="0032547B">
        <w:rPr>
          <w:rStyle w:val="Appelnotedebasdep"/>
        </w:rPr>
        <w:footnoteReference w:id="16"/>
      </w:r>
      <w:r w:rsidRPr="00D42F44">
        <w:t xml:space="preserve"> Le télétravail en est un exemple. Or, </w:t>
      </w:r>
      <w:r w:rsidR="008054B4">
        <w:t>« </w:t>
      </w:r>
      <w:r w:rsidRPr="00D42F44">
        <w:t>si le télétravail peut arriver à une meilleur</w:t>
      </w:r>
      <w:r w:rsidR="00C06F52">
        <w:t>e</w:t>
      </w:r>
      <w:r w:rsidRPr="00D42F44">
        <w:t xml:space="preserve"> conciliation de ces deux éléments, il peut également, dans certains cas, provoquer l'effet contraire.</w:t>
      </w:r>
      <w:r w:rsidR="008054B4">
        <w:t> »</w:t>
      </w:r>
      <w:r w:rsidR="005A168F" w:rsidRPr="0032547B">
        <w:rPr>
          <w:rStyle w:val="Appelnotedebasdep"/>
        </w:rPr>
        <w:footnoteReference w:id="17"/>
      </w:r>
      <w:r w:rsidRPr="00D42F44">
        <w:t xml:space="preserve"> En effet, le </w:t>
      </w:r>
      <w:r w:rsidR="008054B4">
        <w:t>« </w:t>
      </w:r>
      <w:r w:rsidRPr="00D42F44">
        <w:t>travail tentaculaire</w:t>
      </w:r>
      <w:r w:rsidR="008054B4">
        <w:t> »</w:t>
      </w:r>
      <w:r w:rsidRPr="00D42F44">
        <w:t xml:space="preserve"> ou la </w:t>
      </w:r>
      <w:r w:rsidR="008054B4">
        <w:t>« </w:t>
      </w:r>
      <w:r w:rsidRPr="00D42F44">
        <w:t>laisse électronique</w:t>
      </w:r>
      <w:r w:rsidR="008054B4">
        <w:t> »</w:t>
      </w:r>
      <w:r w:rsidRPr="00D42F44">
        <w:t xml:space="preserve"> peuvent nuire substantiellement au bien-être des travailleuses et des travailleurs.</w:t>
      </w:r>
      <w:r w:rsidR="005A168F" w:rsidRPr="0032547B">
        <w:rPr>
          <w:rStyle w:val="Appelnotedebasdep"/>
        </w:rPr>
        <w:footnoteReference w:id="18"/>
      </w:r>
    </w:p>
    <w:p w14:paraId="3DE416A5" w14:textId="69A81CFF" w:rsidR="00D42F44" w:rsidRPr="00D42F44" w:rsidRDefault="00D42F44" w:rsidP="00C62F5C">
      <w:pPr>
        <w:pStyle w:val="Style1"/>
      </w:pPr>
      <w:r w:rsidRPr="00D42F44">
        <w:t xml:space="preserve">Selon Julie </w:t>
      </w:r>
      <w:proofErr w:type="spellStart"/>
      <w:r w:rsidRPr="00D42F44">
        <w:t>Rothman</w:t>
      </w:r>
      <w:proofErr w:type="spellEnd"/>
      <w:r w:rsidRPr="00D42F44">
        <w:t xml:space="preserve">, de l'Université de Toronto, </w:t>
      </w:r>
      <w:r w:rsidR="008054B4">
        <w:t>« </w:t>
      </w:r>
      <w:r w:rsidRPr="00D42F44">
        <w:t>[p]</w:t>
      </w:r>
      <w:proofErr w:type="spellStart"/>
      <w:r w:rsidRPr="00D42F44">
        <w:t>lusieurs</w:t>
      </w:r>
      <w:proofErr w:type="spellEnd"/>
      <w:r w:rsidRPr="00D42F44">
        <w:t xml:space="preserve"> dirigeants d'entreprises saisissent aisément les bienfaits de la déconnexion et ne sont pas contre l'idée de ne pas accéder aux courriels professionnels depuis la maison</w:t>
      </w:r>
      <w:r w:rsidR="008054B4">
        <w:t> »</w:t>
      </w:r>
      <w:r w:rsidR="008E212D">
        <w:t>.</w:t>
      </w:r>
      <w:r w:rsidRPr="00D42F44">
        <w:t xml:space="preserve"> En Allemagne, Volkswagen a établi une coupure de l'accès à la messagerie électronique en soirée. Certaines organisations, dont Intel et Nestlé, ont mis en place des </w:t>
      </w:r>
      <w:r w:rsidR="0088662A">
        <w:t>« </w:t>
      </w:r>
      <w:r w:rsidRPr="00D42F44">
        <w:t>journées sans e-mail</w:t>
      </w:r>
      <w:r w:rsidR="0088662A">
        <w:t> »</w:t>
      </w:r>
      <w:r w:rsidRPr="00D42F44">
        <w:t xml:space="preserve"> alors que des compagnies américaines proposent à leurs cadres des </w:t>
      </w:r>
      <w:r w:rsidR="0088662A">
        <w:t>« </w:t>
      </w:r>
      <w:r w:rsidRPr="0088662A">
        <w:rPr>
          <w:i/>
        </w:rPr>
        <w:t xml:space="preserve">digital </w:t>
      </w:r>
      <w:proofErr w:type="spellStart"/>
      <w:r w:rsidRPr="0088662A">
        <w:rPr>
          <w:i/>
        </w:rPr>
        <w:t>detox</w:t>
      </w:r>
      <w:proofErr w:type="spellEnd"/>
      <w:r w:rsidR="0088662A">
        <w:t> »</w:t>
      </w:r>
      <w:r w:rsidRPr="00D42F44">
        <w:t xml:space="preserve">, soit des </w:t>
      </w:r>
      <w:r w:rsidR="00175993">
        <w:t>« </w:t>
      </w:r>
      <w:r w:rsidRPr="00D42F44">
        <w:t>sevrage</w:t>
      </w:r>
      <w:r w:rsidR="00175993">
        <w:t> »</w:t>
      </w:r>
      <w:r w:rsidRPr="00D42F44">
        <w:t xml:space="preserve"> aux TIC.</w:t>
      </w:r>
      <w:r w:rsidR="00506DEB" w:rsidRPr="0032547B">
        <w:rPr>
          <w:rStyle w:val="Appelnotedebasdep"/>
        </w:rPr>
        <w:footnoteReference w:id="19"/>
      </w:r>
    </w:p>
    <w:p w14:paraId="72457CDF" w14:textId="40509EA7" w:rsidR="00D42F44" w:rsidRPr="00D42F44" w:rsidRDefault="00D42F44" w:rsidP="00C62F5C">
      <w:pPr>
        <w:pStyle w:val="Style1"/>
      </w:pPr>
      <w:r w:rsidRPr="00D42F44">
        <w:t>Ceci étant dit, les initiatives organisationnelles visant à lutter contre l'</w:t>
      </w:r>
      <w:r w:rsidR="0088662A">
        <w:t>hyper-connectivité</w:t>
      </w:r>
      <w:r w:rsidR="00542E75">
        <w:t xml:space="preserve"> </w:t>
      </w:r>
      <w:r w:rsidRPr="00D42F44">
        <w:t xml:space="preserve">font face à un problème </w:t>
      </w:r>
      <w:r w:rsidRPr="00C62F5C">
        <w:t>social</w:t>
      </w:r>
      <w:r w:rsidRPr="00D42F44">
        <w:t xml:space="preserve"> et culturel, </w:t>
      </w:r>
      <w:r w:rsidR="00542E75">
        <w:t xml:space="preserve">soit </w:t>
      </w:r>
      <w:r w:rsidRPr="00D42F44">
        <w:t>celui de l’injonction à se connecter.</w:t>
      </w:r>
      <w:r w:rsidR="00506DEB" w:rsidRPr="0032547B">
        <w:rPr>
          <w:rStyle w:val="Appelnotedebasdep"/>
        </w:rPr>
        <w:footnoteReference w:id="20"/>
      </w:r>
      <w:r w:rsidRPr="00D42F44">
        <w:t xml:space="preserve"> Pour Higgins,</w:t>
      </w:r>
      <w:r w:rsidR="006513C8">
        <w:t xml:space="preserve"> </w:t>
      </w:r>
      <w:r w:rsidR="00506DEB">
        <w:t>« </w:t>
      </w:r>
      <w:r w:rsidRPr="00D42F44">
        <w:t>[i]l ne suffit pas de proposer une grande variété de formules de travail; les employés doivent sentir qu'ils peuvent s'en prévaloir sans pénalité</w:t>
      </w:r>
      <w:r w:rsidR="00506DEB">
        <w:t>. »</w:t>
      </w:r>
      <w:r w:rsidR="00506DEB" w:rsidRPr="0032547B">
        <w:rPr>
          <w:rStyle w:val="Appelnotedebasdep"/>
        </w:rPr>
        <w:footnoteReference w:id="21"/>
      </w:r>
      <w:r w:rsidRPr="00D42F44">
        <w:t xml:space="preserve"> Pour réussir, les initiatives de déconnexion doivent</w:t>
      </w:r>
      <w:r w:rsidR="00AF1CB3">
        <w:t xml:space="preserve"> donc</w:t>
      </w:r>
      <w:r w:rsidRPr="00D42F44">
        <w:t xml:space="preserve"> s'inscrire dans un changement sociétal profond. </w:t>
      </w:r>
    </w:p>
    <w:p w14:paraId="6ED47B68" w14:textId="19EF356C" w:rsidR="00D42F44" w:rsidRPr="00D42F44" w:rsidRDefault="00D42F44" w:rsidP="00C62F5C">
      <w:pPr>
        <w:pStyle w:val="Style1"/>
      </w:pPr>
      <w:r w:rsidRPr="00D42F44">
        <w:t>Bien que les solutions envisageables afin de répondre au problème de l’</w:t>
      </w:r>
      <w:r w:rsidR="0088662A">
        <w:t>hyper-connectivité</w:t>
      </w:r>
      <w:r w:rsidRPr="00D42F44">
        <w:t xml:space="preserve"> soient multiples, la réforme du cadre juridique est un choix qui s’impose afin d’assurer </w:t>
      </w:r>
      <w:r w:rsidRPr="0088662A">
        <w:t xml:space="preserve">un droit à la déconnexion </w:t>
      </w:r>
      <w:r w:rsidR="0088662A" w:rsidRPr="0088662A">
        <w:t>sachant</w:t>
      </w:r>
      <w:r w:rsidRPr="0088662A">
        <w:t xml:space="preserve"> répondre à cette problématique.</w:t>
      </w:r>
      <w:r w:rsidRPr="00D42F44">
        <w:t xml:space="preserve"> Il faut </w:t>
      </w:r>
      <w:r w:rsidRPr="00C62F5C">
        <w:t>lancer</w:t>
      </w:r>
      <w:r w:rsidRPr="00D42F44">
        <w:t xml:space="preserve"> un message clair et ouvrir le dialogue public sur la question. La constitutionnalisation de </w:t>
      </w:r>
      <w:r w:rsidRPr="00D42F44">
        <w:lastRenderedPageBreak/>
        <w:t xml:space="preserve">ce droit permettrait de trouver un équilibre entre les initiatives individuelles et les mesures collectives pour prévenir les méfaits de l’hyper-connectivité. </w:t>
      </w:r>
    </w:p>
    <w:p w14:paraId="688F437C" w14:textId="77777777" w:rsidR="00D42F44" w:rsidRPr="0070555C" w:rsidRDefault="0070555C" w:rsidP="00EF1407">
      <w:pPr>
        <w:pStyle w:val="Titre1"/>
        <w:numPr>
          <w:ilvl w:val="0"/>
          <w:numId w:val="2"/>
        </w:numPr>
        <w:rPr>
          <w:rFonts w:eastAsia="Times New Roman"/>
          <w:lang w:val="fr-CA" w:eastAsia="fr-FR"/>
        </w:rPr>
      </w:pPr>
      <w:bookmarkStart w:id="5" w:name="_Toc1328151"/>
      <w:r>
        <w:rPr>
          <w:rFonts w:eastAsia="Times New Roman"/>
          <w:lang w:val="fr-CA" w:eastAsia="fr-FR"/>
        </w:rPr>
        <w:t>Le droit à la déconnexion en droit québécois</w:t>
      </w:r>
      <w:bookmarkEnd w:id="5"/>
    </w:p>
    <w:p w14:paraId="5B1CCBE1" w14:textId="77777777" w:rsidR="00EF1407" w:rsidRDefault="00EF1407" w:rsidP="00EF1407">
      <w:pPr>
        <w:pStyle w:val="Titre2"/>
        <w:numPr>
          <w:ilvl w:val="0"/>
          <w:numId w:val="0"/>
        </w:numPr>
        <w:ind w:left="1418"/>
        <w:rPr>
          <w:rFonts w:eastAsia="Times New Roman"/>
          <w:lang w:val="fr-CA" w:eastAsia="fr-FR"/>
        </w:rPr>
      </w:pPr>
    </w:p>
    <w:p w14:paraId="7AC65CCA" w14:textId="77777777" w:rsidR="00D42F44" w:rsidRPr="006513C8" w:rsidRDefault="00D42F44" w:rsidP="00EF1407">
      <w:pPr>
        <w:pStyle w:val="Titre2"/>
        <w:numPr>
          <w:ilvl w:val="1"/>
          <w:numId w:val="10"/>
        </w:numPr>
        <w:rPr>
          <w:rFonts w:eastAsia="Times New Roman"/>
          <w:lang w:val="fr-CA" w:eastAsia="fr-FR"/>
        </w:rPr>
      </w:pPr>
      <w:bookmarkStart w:id="6" w:name="_Toc1328152"/>
      <w:r w:rsidRPr="006513C8">
        <w:rPr>
          <w:rFonts w:eastAsia="Times New Roman"/>
          <w:lang w:val="fr-CA" w:eastAsia="fr-FR"/>
        </w:rPr>
        <w:t xml:space="preserve">État des lieux </w:t>
      </w:r>
      <w:r w:rsidR="006513C8">
        <w:rPr>
          <w:rFonts w:eastAsia="Times New Roman"/>
          <w:lang w:val="fr-CA" w:eastAsia="fr-FR"/>
        </w:rPr>
        <w:t>et p</w:t>
      </w:r>
      <w:r w:rsidRPr="006513C8">
        <w:rPr>
          <w:rFonts w:eastAsia="Times New Roman"/>
          <w:lang w:val="fr-CA" w:eastAsia="fr-FR"/>
        </w:rPr>
        <w:t>roblématique</w:t>
      </w:r>
      <w:bookmarkEnd w:id="6"/>
    </w:p>
    <w:p w14:paraId="26E29A5C" w14:textId="762C4730" w:rsidR="00D42F44" w:rsidRPr="00871DBF" w:rsidRDefault="00D42F44" w:rsidP="00C62F5C">
      <w:pPr>
        <w:pStyle w:val="Style1"/>
        <w:rPr>
          <w:highlight w:val="yellow"/>
        </w:rPr>
      </w:pPr>
      <w:r w:rsidRPr="00871DBF">
        <w:rPr>
          <w:highlight w:val="yellow"/>
        </w:rPr>
        <w:t>En mars 2018, le d</w:t>
      </w:r>
      <w:r w:rsidR="00C62F5C" w:rsidRPr="00871DBF">
        <w:rPr>
          <w:highlight w:val="yellow"/>
        </w:rPr>
        <w:t>é</w:t>
      </w:r>
      <w:r w:rsidRPr="00871DBF">
        <w:rPr>
          <w:highlight w:val="yellow"/>
        </w:rPr>
        <w:t>puté de Gouin</w:t>
      </w:r>
      <w:r w:rsidR="00C62F5C" w:rsidRPr="00871DBF">
        <w:rPr>
          <w:highlight w:val="yellow"/>
        </w:rPr>
        <w:t xml:space="preserve"> </w:t>
      </w:r>
      <w:r w:rsidR="0070555C" w:rsidRPr="00871DBF">
        <w:rPr>
          <w:highlight w:val="yellow"/>
        </w:rPr>
        <w:t>a déposé</w:t>
      </w:r>
      <w:r w:rsidRPr="00871DBF">
        <w:rPr>
          <w:highlight w:val="yellow"/>
        </w:rPr>
        <w:t xml:space="preserve"> le projet de loi 1097</w:t>
      </w:r>
      <w:r w:rsidR="0070555C" w:rsidRPr="00871DBF">
        <w:rPr>
          <w:highlight w:val="yellow"/>
        </w:rPr>
        <w:t xml:space="preserve">, </w:t>
      </w:r>
      <w:r w:rsidR="0070555C" w:rsidRPr="00871DBF">
        <w:rPr>
          <w:i/>
          <w:iCs/>
          <w:highlight w:val="yellow"/>
        </w:rPr>
        <w:t>l</w:t>
      </w:r>
      <w:r w:rsidRPr="00871DBF">
        <w:rPr>
          <w:i/>
          <w:iCs/>
          <w:highlight w:val="yellow"/>
        </w:rPr>
        <w:t xml:space="preserve">oi sur le droit à la </w:t>
      </w:r>
      <w:r w:rsidRPr="00871DBF">
        <w:rPr>
          <w:i/>
          <w:highlight w:val="yellow"/>
        </w:rPr>
        <w:t>déconnexion</w:t>
      </w:r>
      <w:r w:rsidRPr="00871DBF">
        <w:rPr>
          <w:highlight w:val="yellow"/>
        </w:rPr>
        <w:t>,</w:t>
      </w:r>
      <w:r w:rsidRPr="00871DBF">
        <w:rPr>
          <w:i/>
          <w:iCs/>
          <w:highlight w:val="yellow"/>
        </w:rPr>
        <w:t xml:space="preserve"> </w:t>
      </w:r>
      <w:r w:rsidRPr="00871DBF">
        <w:rPr>
          <w:highlight w:val="yellow"/>
        </w:rPr>
        <w:t xml:space="preserve">à l’Assemblée nationale. </w:t>
      </w:r>
      <w:r w:rsidR="00AD448A" w:rsidRPr="00871DBF">
        <w:rPr>
          <w:highlight w:val="yellow"/>
        </w:rPr>
        <w:t>Il est à noter que deux ans auparavant</w:t>
      </w:r>
      <w:r w:rsidR="005A267C" w:rsidRPr="00871DBF">
        <w:rPr>
          <w:highlight w:val="yellow"/>
        </w:rPr>
        <w:t>,</w:t>
      </w:r>
      <w:r w:rsidR="00AD448A" w:rsidRPr="00871DBF">
        <w:rPr>
          <w:highlight w:val="yellow"/>
        </w:rPr>
        <w:t xml:space="preserve"> la France a</w:t>
      </w:r>
      <w:r w:rsidR="005A267C" w:rsidRPr="00871DBF">
        <w:rPr>
          <w:highlight w:val="yellow"/>
        </w:rPr>
        <w:t>vait</w:t>
      </w:r>
      <w:r w:rsidR="00AD448A" w:rsidRPr="00871DBF">
        <w:rPr>
          <w:highlight w:val="yellow"/>
        </w:rPr>
        <w:t xml:space="preserve"> adopté la loi </w:t>
      </w:r>
      <w:r w:rsidR="005A267C" w:rsidRPr="00871DBF">
        <w:rPr>
          <w:i/>
          <w:highlight w:val="yellow"/>
        </w:rPr>
        <w:t>El-Khomri</w:t>
      </w:r>
      <w:r w:rsidR="005A267C" w:rsidRPr="00871DBF">
        <w:rPr>
          <w:rStyle w:val="Appelnotedebasdep"/>
          <w:i/>
          <w:highlight w:val="yellow"/>
        </w:rPr>
        <w:footnoteReference w:id="22"/>
      </w:r>
      <w:r w:rsidR="005A267C" w:rsidRPr="00871DBF">
        <w:rPr>
          <w:i/>
          <w:highlight w:val="yellow"/>
        </w:rPr>
        <w:t xml:space="preserve">, </w:t>
      </w:r>
      <w:r w:rsidR="005A267C" w:rsidRPr="00871DBF">
        <w:rPr>
          <w:highlight w:val="yellow"/>
        </w:rPr>
        <w:t xml:space="preserve">obligeant les entreprises de plus de 50 salariés à conclure des ententes concernant la disponibilité des travailleurs en dehors des heures réglementaires. </w:t>
      </w:r>
      <w:r w:rsidRPr="00871DBF">
        <w:rPr>
          <w:highlight w:val="yellow"/>
        </w:rPr>
        <w:t>O</w:t>
      </w:r>
      <w:r w:rsidR="005A267C" w:rsidRPr="00871DBF">
        <w:rPr>
          <w:highlight w:val="yellow"/>
        </w:rPr>
        <w:t>r,</w:t>
      </w:r>
      <w:r w:rsidRPr="00871DBF">
        <w:rPr>
          <w:highlight w:val="yellow"/>
        </w:rPr>
        <w:t xml:space="preserve"> </w:t>
      </w:r>
      <w:r w:rsidR="005A267C" w:rsidRPr="00871DBF">
        <w:rPr>
          <w:highlight w:val="yellow"/>
        </w:rPr>
        <w:t xml:space="preserve">cette </w:t>
      </w:r>
      <w:r w:rsidRPr="00871DBF">
        <w:rPr>
          <w:highlight w:val="yellow"/>
        </w:rPr>
        <w:t xml:space="preserve">initiative législative </w:t>
      </w:r>
      <w:r w:rsidR="00871DBF" w:rsidRPr="00871DBF">
        <w:rPr>
          <w:highlight w:val="yellow"/>
        </w:rPr>
        <w:t>meurt</w:t>
      </w:r>
      <w:r w:rsidRPr="00871DBF">
        <w:rPr>
          <w:highlight w:val="yellow"/>
        </w:rPr>
        <w:t xml:space="preserve"> au </w:t>
      </w:r>
      <w:r w:rsidR="0088662A" w:rsidRPr="00871DBF">
        <w:rPr>
          <w:highlight w:val="yellow"/>
        </w:rPr>
        <w:t xml:space="preserve">feuilleton </w:t>
      </w:r>
      <w:r w:rsidR="0070555C" w:rsidRPr="00871DBF">
        <w:rPr>
          <w:highlight w:val="yellow"/>
        </w:rPr>
        <w:t>en novembre</w:t>
      </w:r>
      <w:r w:rsidRPr="00871DBF">
        <w:rPr>
          <w:highlight w:val="yellow"/>
        </w:rPr>
        <w:t xml:space="preserve"> 2018, le cadre législatif québécois demeure </w:t>
      </w:r>
      <w:r w:rsidR="00871DBF" w:rsidRPr="00871DBF">
        <w:rPr>
          <w:highlight w:val="yellow"/>
        </w:rPr>
        <w:t>silencieux</w:t>
      </w:r>
      <w:r w:rsidRPr="00871DBF">
        <w:rPr>
          <w:highlight w:val="yellow"/>
        </w:rPr>
        <w:t xml:space="preserve"> quant au droit à déconnexion</w:t>
      </w:r>
      <w:r w:rsidR="00506DEB" w:rsidRPr="00871DBF">
        <w:rPr>
          <w:highlight w:val="yellow"/>
        </w:rPr>
        <w:t>.</w:t>
      </w:r>
      <w:r w:rsidR="00506DEB" w:rsidRPr="00871DBF">
        <w:rPr>
          <w:rStyle w:val="Appelnotedebasdep"/>
          <w:highlight w:val="yellow"/>
        </w:rPr>
        <w:footnoteReference w:id="23"/>
      </w:r>
    </w:p>
    <w:p w14:paraId="5E488154" w14:textId="43E3E398" w:rsidR="00D42F44" w:rsidRPr="00506DEB" w:rsidRDefault="00D42F44" w:rsidP="00C62F5C">
      <w:pPr>
        <w:pStyle w:val="Style1"/>
      </w:pPr>
      <w:r w:rsidRPr="00506DEB">
        <w:t xml:space="preserve">Bien que la </w:t>
      </w:r>
      <w:r w:rsidRPr="00506DEB">
        <w:rPr>
          <w:i/>
          <w:iCs/>
        </w:rPr>
        <w:t>Loi sur les normes du travail</w:t>
      </w:r>
      <w:r w:rsidR="00506DEB" w:rsidRPr="0032547B">
        <w:rPr>
          <w:rStyle w:val="Appelnotedebasdep"/>
        </w:rPr>
        <w:footnoteReference w:id="24"/>
      </w:r>
      <w:r w:rsidR="00506DEB">
        <w:rPr>
          <w:i/>
          <w:iCs/>
        </w:rPr>
        <w:t xml:space="preserve"> </w:t>
      </w:r>
      <w:r w:rsidR="00506DEB">
        <w:t xml:space="preserve">offrirait en théorie un cadre général de protection aux travailleurs équivalent </w:t>
      </w:r>
      <w:r w:rsidR="00D12F0A">
        <w:t>à un droit à la déconnexion</w:t>
      </w:r>
      <w:r w:rsidR="00506DEB">
        <w:t xml:space="preserve">, </w:t>
      </w:r>
      <w:r w:rsidR="00D12F0A">
        <w:t xml:space="preserve">en pratique, la </w:t>
      </w:r>
      <w:r w:rsidR="00D12F0A">
        <w:rPr>
          <w:i/>
        </w:rPr>
        <w:t>LNT</w:t>
      </w:r>
      <w:r w:rsidR="00D12F0A">
        <w:t xml:space="preserve"> n’a pas encore été appliquée aux problématiques posées par l’</w:t>
      </w:r>
      <w:r w:rsidR="0088662A">
        <w:t>hyper-connectivité</w:t>
      </w:r>
      <w:r w:rsidRPr="00506DEB">
        <w:t xml:space="preserve">. Une obligation pour un travailleur de répondre à des courriels ou des appels sans son acceptation et en dehors de ses heures de travail peut aisément poser problème à certaines dispositions de la </w:t>
      </w:r>
      <w:r w:rsidR="00506DEB">
        <w:rPr>
          <w:i/>
          <w:iCs/>
        </w:rPr>
        <w:t>LNT</w:t>
      </w:r>
      <w:r w:rsidRPr="00506DEB">
        <w:t>.</w:t>
      </w:r>
    </w:p>
    <w:p w14:paraId="1E965F6A" w14:textId="2B0BC1E1" w:rsidR="00D42F44" w:rsidRPr="00D42F44" w:rsidRDefault="00D12F0A" w:rsidP="00D12F0A">
      <w:pPr>
        <w:pStyle w:val="Style1"/>
      </w:pPr>
      <w:r>
        <w:t>Par exemple, l</w:t>
      </w:r>
      <w:r w:rsidR="00D42F44" w:rsidRPr="00506DEB">
        <w:t xml:space="preserve">’article 57 </w:t>
      </w:r>
      <w:r w:rsidR="00AF1CB3" w:rsidRPr="00506DEB">
        <w:t>traitant de</w:t>
      </w:r>
      <w:r w:rsidR="00D42F44" w:rsidRPr="00506DEB">
        <w:t xml:space="preserve"> la durée du travail indique les moments où un salarié est réputé </w:t>
      </w:r>
      <w:r>
        <w:t>« </w:t>
      </w:r>
      <w:r w:rsidR="00D42F44" w:rsidRPr="00506DEB">
        <w:t>au travail</w:t>
      </w:r>
      <w:r>
        <w:t xml:space="preserve"> » pourrait protéger partiellement le travailleur. L’injonction à la connexion </w:t>
      </w:r>
      <w:r w:rsidRPr="00506DEB">
        <w:t xml:space="preserve">impliquant un travail irait </w:t>
      </w:r>
      <w:r>
        <w:t xml:space="preserve">ainsi </w:t>
      </w:r>
      <w:r w:rsidRPr="00506DEB">
        <w:t xml:space="preserve">à l’encontre de l’intention de la </w:t>
      </w:r>
      <w:r>
        <w:rPr>
          <w:i/>
          <w:iCs/>
        </w:rPr>
        <w:t>LNT</w:t>
      </w:r>
      <w:r w:rsidRPr="00506DEB">
        <w:t>.</w:t>
      </w:r>
      <w:r>
        <w:t xml:space="preserve"> Toutefois, l’article 57</w:t>
      </w:r>
      <w:r w:rsidR="00D42F44" w:rsidRPr="00506DEB">
        <w:t xml:space="preserve"> exclus intentionnellement les heures où le salarié est à son domicil</w:t>
      </w:r>
      <w:r>
        <w:t>e, où les problèmes d’</w:t>
      </w:r>
      <w:r w:rsidR="0088662A">
        <w:t>hyper-connectivité</w:t>
      </w:r>
      <w:r>
        <w:t xml:space="preserve"> se posent le plus souvent. </w:t>
      </w:r>
      <w:r w:rsidR="00D42F44" w:rsidRPr="00D42F44">
        <w:t>L’article 78, sur les repos du salarié, garantit le droit à un travailleur à 32 heures de repos consécutifs par semaine. Un repos de deux jours, entrecoupé par l’obligation d’être électroniquement accessible et en communication constante</w:t>
      </w:r>
      <w:r w:rsidR="00FA3CA7">
        <w:t xml:space="preserve"> avec le bureau </w:t>
      </w:r>
      <w:r w:rsidR="00D42F44" w:rsidRPr="00D42F44">
        <w:t>peut difficilement être considéré comme 32 heures consécutives</w:t>
      </w:r>
      <w:r w:rsidR="00FA3CA7">
        <w:t xml:space="preserve"> de repos</w:t>
      </w:r>
      <w:r w:rsidR="00D42F44" w:rsidRPr="00D42F44">
        <w:t xml:space="preserve">. </w:t>
      </w:r>
      <w:r>
        <w:t>Or, l</w:t>
      </w:r>
      <w:r w:rsidR="00FA3CA7">
        <w:t>’injonction à connexion</w:t>
      </w:r>
      <w:r>
        <w:t xml:space="preserve">, pour peu qu’elle </w:t>
      </w:r>
      <w:r w:rsidR="00FA3CA7">
        <w:t>se vive au domicile du travailleur, n’est pas comptabilisée dans ce régime. Ainsi, m</w:t>
      </w:r>
      <w:r w:rsidR="00D42F44" w:rsidRPr="00D42F44">
        <w:t xml:space="preserve">algré les </w:t>
      </w:r>
      <w:r w:rsidR="00D42F44" w:rsidRPr="00D42F44">
        <w:lastRenderedPageBreak/>
        <w:t xml:space="preserve">réglementations prescriptives de la </w:t>
      </w:r>
      <w:r w:rsidR="0088662A">
        <w:rPr>
          <w:i/>
          <w:iCs/>
        </w:rPr>
        <w:t>LNT</w:t>
      </w:r>
      <w:r w:rsidR="00D42F44" w:rsidRPr="00D42F44">
        <w:t>, celle-ci ne garantit toujours pas de manière positive un droit à la déconnexion.</w:t>
      </w:r>
      <w:r w:rsidR="00FA3CA7" w:rsidRPr="0032547B">
        <w:rPr>
          <w:rStyle w:val="Appelnotedebasdep"/>
        </w:rPr>
        <w:footnoteReference w:id="25"/>
      </w:r>
    </w:p>
    <w:p w14:paraId="09D72E91" w14:textId="4499BF7B" w:rsidR="00D42F44" w:rsidRPr="00FA3CA7" w:rsidRDefault="00D42F44" w:rsidP="00D42F44">
      <w:pPr>
        <w:pStyle w:val="Style1"/>
      </w:pPr>
      <w:r w:rsidRPr="00D42F44">
        <w:t xml:space="preserve">Quant à la </w:t>
      </w:r>
      <w:r w:rsidRPr="00D42F44">
        <w:rPr>
          <w:i/>
          <w:iCs/>
        </w:rPr>
        <w:t>Charte des droits et libertés de la personne</w:t>
      </w:r>
      <w:r w:rsidR="00C33E2A">
        <w:t xml:space="preserve"> et comme il sera démontré ci-dessous, </w:t>
      </w:r>
      <w:r w:rsidR="00FA3CA7">
        <w:t xml:space="preserve">elle </w:t>
      </w:r>
      <w:r w:rsidRPr="00D42F44">
        <w:t>garantit</w:t>
      </w:r>
      <w:r w:rsidR="00FA3CA7">
        <w:t xml:space="preserve"> certaines protections pour les travailleurs</w:t>
      </w:r>
      <w:r w:rsidRPr="00D42F44">
        <w:t>.</w:t>
      </w:r>
      <w:r w:rsidR="00FA3CA7" w:rsidRPr="0032547B">
        <w:rPr>
          <w:rStyle w:val="Appelnotedebasdep"/>
        </w:rPr>
        <w:footnoteReference w:id="26"/>
      </w:r>
      <w:r w:rsidRPr="00D42F44">
        <w:t xml:space="preserve"> </w:t>
      </w:r>
      <w:r w:rsidR="00FA3CA7">
        <w:t>Celles</w:t>
      </w:r>
      <w:r w:rsidRPr="00D42F44">
        <w:t xml:space="preserve">-ci </w:t>
      </w:r>
      <w:r w:rsidR="00FA3CA7">
        <w:t>sont toutefois difficilement invocables</w:t>
      </w:r>
      <w:r w:rsidRPr="00D42F44">
        <w:t xml:space="preserve"> afin de faire </w:t>
      </w:r>
      <w:r w:rsidR="00FA3CA7">
        <w:t>valoir</w:t>
      </w:r>
      <w:r w:rsidRPr="00D42F44">
        <w:t xml:space="preserve"> un droit positif à la déconnexion.</w:t>
      </w:r>
    </w:p>
    <w:p w14:paraId="1F2227FA" w14:textId="77777777" w:rsidR="00D42F44" w:rsidRPr="00D42F44" w:rsidRDefault="006513C8" w:rsidP="00EF1407">
      <w:pPr>
        <w:pStyle w:val="Titre2"/>
        <w:numPr>
          <w:ilvl w:val="1"/>
          <w:numId w:val="10"/>
        </w:numPr>
        <w:rPr>
          <w:rFonts w:eastAsia="Times New Roman"/>
          <w:lang w:val="fr-CA" w:eastAsia="fr-FR"/>
        </w:rPr>
      </w:pPr>
      <w:bookmarkStart w:id="7" w:name="_Toc1328153"/>
      <w:r>
        <w:rPr>
          <w:rFonts w:eastAsia="Times New Roman"/>
          <w:lang w:val="fr-CA" w:eastAsia="fr-FR"/>
        </w:rPr>
        <w:t xml:space="preserve">L’article 46 de la </w:t>
      </w:r>
      <w:r>
        <w:rPr>
          <w:rFonts w:eastAsia="Times New Roman"/>
          <w:i/>
          <w:lang w:val="fr-CA" w:eastAsia="fr-FR"/>
        </w:rPr>
        <w:t>Charte des droit et libertés de la personne</w:t>
      </w:r>
      <w:bookmarkEnd w:id="7"/>
    </w:p>
    <w:p w14:paraId="7C64573E" w14:textId="77777777" w:rsidR="000078F1" w:rsidRDefault="000078F1" w:rsidP="000078F1">
      <w:pPr>
        <w:pStyle w:val="Style1"/>
      </w:pPr>
      <w:r>
        <w:t>Plusieurs articles de la</w:t>
      </w:r>
      <w:r w:rsidR="00FA3CA7">
        <w:t xml:space="preserve"> </w:t>
      </w:r>
      <w:r w:rsidR="00FA3CA7" w:rsidRPr="0088662A">
        <w:rPr>
          <w:i/>
        </w:rPr>
        <w:t>Charte</w:t>
      </w:r>
      <w:r w:rsidR="00FA3CA7">
        <w:t xml:space="preserve"> </w:t>
      </w:r>
      <w:r>
        <w:t xml:space="preserve">traitent du droit du travail. Il s’agit là d’une différence fondamentale avec sa contrepartie canadienne. Il constitue en quelque sorte une spécificité québécoise qu’il nous paraît primordial de conserver — et de renforcer — dans une éventuelle constitution du Québec. Aux fins du droit à la déconnexion, nous retenons surtout l’article 46 de la </w:t>
      </w:r>
      <w:r w:rsidRPr="00EF1407">
        <w:rPr>
          <w:i/>
        </w:rPr>
        <w:t>Charte</w:t>
      </w:r>
      <w:r>
        <w:t>, qui prévoit que « [t]</w:t>
      </w:r>
      <w:r w:rsidRPr="00B019CF">
        <w:t>oute personne qui travaille a droit, conformément à la loi, à des conditions de travail justes et raisonnables et qui respectent sa santé, sa sécurité et son intégrité physique</w:t>
      </w:r>
      <w:r>
        <w:t> ».</w:t>
      </w:r>
      <w:r w:rsidR="00D43F11" w:rsidRPr="0032547B">
        <w:rPr>
          <w:rStyle w:val="Appelnotedebasdep"/>
        </w:rPr>
        <w:footnoteReference w:id="27"/>
      </w:r>
      <w:r>
        <w:t xml:space="preserve"> Nous sommes d’avis que c’est à-travers l’article 46 qu’il est le plus naturel d’articuler un éventuel droit québécois à la déconnexion.</w:t>
      </w:r>
    </w:p>
    <w:p w14:paraId="3073D2EC" w14:textId="77777777" w:rsidR="000078F1" w:rsidRPr="00B019CF" w:rsidRDefault="000078F1" w:rsidP="000078F1">
      <w:pPr>
        <w:pStyle w:val="Style1"/>
      </w:pPr>
      <w:r>
        <w:t xml:space="preserve">Notons d’emblée que l’article 46 fait partie des droits « économique et sociaux » de la </w:t>
      </w:r>
      <w:r w:rsidRPr="00EF1407">
        <w:rPr>
          <w:i/>
        </w:rPr>
        <w:t>Charte</w:t>
      </w:r>
      <w:r>
        <w:t>, qui ne sont pas juridiquement contraignants.</w:t>
      </w:r>
      <w:r w:rsidR="00D43F11" w:rsidRPr="0032547B">
        <w:rPr>
          <w:rStyle w:val="Appelnotedebasdep"/>
        </w:rPr>
        <w:footnoteReference w:id="28"/>
      </w:r>
      <w:r w:rsidR="00D43F11">
        <w:t xml:space="preserve"> </w:t>
      </w:r>
      <w:r>
        <w:t>C’est-à-dire que, contrairement aux droits civils et politiques (comme par exemple la liberté d’expression ou le droit de vote), une loi québécoise peut enfreindre les droits économiques et sociaux sans qu’un tribunal, sur cette seule base, puisse l’invalider.</w:t>
      </w:r>
    </w:p>
    <w:p w14:paraId="666F62B3" w14:textId="05B33207" w:rsidR="000078F1" w:rsidRDefault="000078F1" w:rsidP="000078F1">
      <w:pPr>
        <w:pStyle w:val="Style1"/>
      </w:pPr>
      <w:r>
        <w:t xml:space="preserve">Néanmoins, il existe une jurisprudence substantielle et diverse qui se base, entre autres, sur l’article 46 pour interpréter d’autres articles de la </w:t>
      </w:r>
      <w:r w:rsidRPr="00EF1407">
        <w:rPr>
          <w:i/>
        </w:rPr>
        <w:t>Charte</w:t>
      </w:r>
      <w:r>
        <w:t xml:space="preserve"> ou de lois</w:t>
      </w:r>
      <w:r w:rsidR="007D4C08">
        <w:t xml:space="preserve">. </w:t>
      </w:r>
      <w:r>
        <w:t xml:space="preserve">C’est particulièrement le cas lorsque </w:t>
      </w:r>
      <w:r w:rsidR="007D4C08">
        <w:t>celui-ci</w:t>
      </w:r>
      <w:r>
        <w:t xml:space="preserve"> entrecoupe le droit à l’égalité ou le droit à la vie privée de l’employée. Toutefois, la jurisprudence ne reconnaît pas, jusqu’à maintenant, </w:t>
      </w:r>
      <w:r>
        <w:lastRenderedPageBreak/>
        <w:t xml:space="preserve">un droit à la déconnexion, sur la base de l’article 46 de la </w:t>
      </w:r>
      <w:r w:rsidRPr="00EF1407">
        <w:rPr>
          <w:i/>
        </w:rPr>
        <w:t>Charte</w:t>
      </w:r>
      <w:r>
        <w:t xml:space="preserve"> ou d’une autre disposition législative québécoise.</w:t>
      </w:r>
      <w:r w:rsidR="006335F6">
        <w:t xml:space="preserve"> </w:t>
      </w:r>
    </w:p>
    <w:p w14:paraId="5A2A6B5B" w14:textId="77777777" w:rsidR="000078F1" w:rsidRPr="00D43F11" w:rsidRDefault="000078F1" w:rsidP="000078F1">
      <w:pPr>
        <w:pStyle w:val="Style1"/>
      </w:pPr>
      <w:r w:rsidRPr="00D43F11">
        <w:t>Or, cette reconnaissance constituerait une évolution naturelle de la portée des droits garantis par l’article 46, au vu de l’approche du droit québécois à la dignité humaine en milieu de travail. La tension fondamentale qui sous-tend la mise en œuvre d’un droit à la déconnexion réside en effet entre le contrat de travail et la dignité humaine de l’employé.</w:t>
      </w:r>
    </w:p>
    <w:p w14:paraId="28656557" w14:textId="4F155A3F" w:rsidR="000078F1" w:rsidRPr="00EC5B4C" w:rsidRDefault="007D498C" w:rsidP="000078F1">
      <w:pPr>
        <w:pStyle w:val="Style1"/>
      </w:pPr>
      <w:r>
        <w:t>C</w:t>
      </w:r>
      <w:r w:rsidR="000078F1">
        <w:t xml:space="preserve">omparativement aux autres provinces canadiennes et aux États-Unis, le droit québécois penche sensiblement plus en faveur de la diginité humaine que du contrat de travail. Le </w:t>
      </w:r>
      <w:r w:rsidR="000078F1">
        <w:rPr>
          <w:i/>
        </w:rPr>
        <w:t>Code civil</w:t>
      </w:r>
      <w:r w:rsidR="000078F1">
        <w:t xml:space="preserve"> prévoit notamment</w:t>
      </w:r>
      <w:r w:rsidR="00D43F11">
        <w:t xml:space="preserve"> </w:t>
      </w:r>
      <w:r w:rsidR="000078F1">
        <w:t>que « </w:t>
      </w:r>
      <w:r w:rsidR="000078F1" w:rsidRPr="0038438C">
        <w:t>[t]</w:t>
      </w:r>
      <w:proofErr w:type="spellStart"/>
      <w:r w:rsidR="000078F1" w:rsidRPr="0038438C">
        <w:t>oute</w:t>
      </w:r>
      <w:proofErr w:type="spellEnd"/>
      <w:r w:rsidR="000078F1" w:rsidRPr="0038438C">
        <w:t xml:space="preserve"> personne est titulaire de droits de la personnalité, tels le droit à la vie, à l’inviolabilité et à l’intégrité de sa personne</w:t>
      </w:r>
      <w:r w:rsidR="000078F1">
        <w:t xml:space="preserve"> […] ».</w:t>
      </w:r>
      <w:r w:rsidR="00D43F11" w:rsidRPr="0032547B">
        <w:rPr>
          <w:rStyle w:val="Appelnotedebasdep"/>
        </w:rPr>
        <w:footnoteReference w:id="29"/>
      </w:r>
      <w:r w:rsidR="000078F1">
        <w:t xml:space="preserve"> Il prévoit également</w:t>
      </w:r>
      <w:r w:rsidR="000078F1">
        <w:rPr>
          <w:i/>
        </w:rPr>
        <w:t xml:space="preserve"> </w:t>
      </w:r>
      <w:r w:rsidR="000078F1">
        <w:t xml:space="preserve">que l’employeur « … </w:t>
      </w:r>
      <w:r w:rsidR="000078F1" w:rsidRPr="0038438C">
        <w:t xml:space="preserve">doit prendre les mesures appropriées à la nature du travail en vue de protéger la santé, la sécurité et la </w:t>
      </w:r>
      <w:r w:rsidR="000078F1" w:rsidRPr="0038438C">
        <w:rPr>
          <w:u w:val="single"/>
        </w:rPr>
        <w:t>dignité</w:t>
      </w:r>
      <w:r w:rsidR="000078F1" w:rsidRPr="0038438C">
        <w:t xml:space="preserve"> du salarié</w:t>
      </w:r>
      <w:r w:rsidR="000078F1">
        <w:t> »</w:t>
      </w:r>
      <w:r w:rsidR="000078F1" w:rsidRPr="0038438C">
        <w:t>.</w:t>
      </w:r>
      <w:r w:rsidR="00D43F11" w:rsidRPr="0032547B">
        <w:rPr>
          <w:rStyle w:val="Appelnotedebasdep"/>
        </w:rPr>
        <w:footnoteReference w:id="30"/>
      </w:r>
      <w:r w:rsidR="000078F1">
        <w:t xml:space="preserve"> Par ailleurs, depuis 2002, la </w:t>
      </w:r>
      <w:r w:rsidR="00D43F11">
        <w:rPr>
          <w:i/>
        </w:rPr>
        <w:t>LNT</w:t>
      </w:r>
      <w:r w:rsidR="000078F1">
        <w:t xml:space="preserve"> protège l’employé d’harcèlement psychologique</w:t>
      </w:r>
      <w:r w:rsidR="00D43F11" w:rsidRPr="0032547B">
        <w:rPr>
          <w:rStyle w:val="Appelnotedebasdep"/>
        </w:rPr>
        <w:footnoteReference w:id="31"/>
      </w:r>
      <w:r w:rsidR="000078F1">
        <w:t xml:space="preserve"> tandis qu’il existe une jurisprudence protégeant la vie privée de l’employée se basant notamment sur le </w:t>
      </w:r>
      <w:r w:rsidR="00AD6077">
        <w:rPr>
          <w:i/>
        </w:rPr>
        <w:t>C.c.Q.</w:t>
      </w:r>
      <w:r w:rsidR="000078F1">
        <w:t xml:space="preserve">, interprété à la lumière de l’article 46 de la </w:t>
      </w:r>
      <w:r w:rsidR="000078F1" w:rsidRPr="0088662A">
        <w:rPr>
          <w:i/>
        </w:rPr>
        <w:t>Charte</w:t>
      </w:r>
      <w:r w:rsidR="000078F1">
        <w:t>.</w:t>
      </w:r>
    </w:p>
    <w:p w14:paraId="54ED87EE" w14:textId="77777777" w:rsidR="006335F6" w:rsidRDefault="000078F1" w:rsidP="000078F1">
      <w:pPr>
        <w:pStyle w:val="Style1"/>
      </w:pPr>
      <w:r>
        <w:t xml:space="preserve">Ces dispositions, lues ensemble, reflètent « la mission sociale du </w:t>
      </w:r>
      <w:r w:rsidRPr="00303461">
        <w:t>législateur québécois en matière de travail, à savoir de protéger les droits du subordonné</w:t>
      </w:r>
      <w:r>
        <w:t xml:space="preserve"> […] et </w:t>
      </w:r>
      <w:r w:rsidRPr="00A40CA5">
        <w:t>de garantir à tout salarié un milieu exempt d’atteintes à sa dignité et à son intégrité, nonobstant le contrat de subordination signé par ce dernier</w:t>
      </w:r>
      <w:r>
        <w:t xml:space="preserve"> ». En un mot, de conclure Eltis, le droit à la diginité du salarié survit à la signature du contrat de travail. </w:t>
      </w:r>
    </w:p>
    <w:p w14:paraId="3784A0AF" w14:textId="77777777" w:rsidR="000078F1" w:rsidRDefault="000078F1" w:rsidP="000078F1">
      <w:pPr>
        <w:pStyle w:val="Style1"/>
      </w:pPr>
      <w:r>
        <w:t xml:space="preserve">Cette conclusion se justifie d’ailleurs par les obligations internationales du Canada et du Québec. En effet, le </w:t>
      </w:r>
      <w:r>
        <w:rPr>
          <w:i/>
        </w:rPr>
        <w:t>Pacte international relatifs aux droits économiques sociaux et culturels</w:t>
      </w:r>
      <w:r>
        <w:t xml:space="preserve">, </w:t>
      </w:r>
      <w:r w:rsidR="006335F6">
        <w:t>auquel</w:t>
      </w:r>
      <w:r>
        <w:t xml:space="preserve"> le Canada est partie, prévoit notamment « </w:t>
      </w:r>
      <w:r w:rsidRPr="009A509B">
        <w:t>le droit qu’</w:t>
      </w:r>
      <w:proofErr w:type="spellStart"/>
      <w:r w:rsidRPr="009A509B">
        <w:t>a</w:t>
      </w:r>
      <w:proofErr w:type="spellEnd"/>
      <w:r w:rsidRPr="009A509B">
        <w:t xml:space="preserve"> toute personne de jouir de conditions de travail justes et favorables, qui assurent notamment:</w:t>
      </w:r>
      <w:r>
        <w:t xml:space="preserve"> </w:t>
      </w:r>
      <w:r>
        <w:lastRenderedPageBreak/>
        <w:t xml:space="preserve">[…] </w:t>
      </w:r>
      <w:r w:rsidRPr="009A509B">
        <w:t>Le repos, les loisirs, la limitation raisonnable de la durée du travail et les congés payés périodiques, ainsi que la rémunération des jours fériés</w:t>
      </w:r>
      <w:r>
        <w:t> ».</w:t>
      </w:r>
      <w:r w:rsidR="003F0347" w:rsidRPr="0032547B">
        <w:rPr>
          <w:rStyle w:val="Appelnotedebasdep"/>
        </w:rPr>
        <w:footnoteReference w:id="32"/>
      </w:r>
    </w:p>
    <w:p w14:paraId="761530A3" w14:textId="5D22F73F" w:rsidR="000078F1" w:rsidRPr="000D6683" w:rsidRDefault="000078F1" w:rsidP="000078F1">
      <w:pPr>
        <w:pStyle w:val="Style1"/>
      </w:pPr>
      <w:r>
        <w:t>Ainsi, au vu des problèmes causés par l’</w:t>
      </w:r>
      <w:r w:rsidR="0088662A">
        <w:t>hyper-connectivité</w:t>
      </w:r>
      <w:r>
        <w:t xml:space="preserve"> exposés plus haut, la reconnaissance constitutionnelle d’un droit à la déconnexion nous apparaît non seulement nécessaire, mais également, dans le contexte normatif québécois, naturelle.</w:t>
      </w:r>
    </w:p>
    <w:p w14:paraId="25F7DFF7" w14:textId="77777777" w:rsidR="00D42F44" w:rsidRPr="00D42F44" w:rsidRDefault="000078F1" w:rsidP="00EF1407">
      <w:pPr>
        <w:pStyle w:val="Titre1"/>
        <w:numPr>
          <w:ilvl w:val="0"/>
          <w:numId w:val="2"/>
        </w:numPr>
        <w:rPr>
          <w:rFonts w:eastAsia="Times New Roman"/>
          <w:lang w:val="fr-CA" w:eastAsia="fr-FR"/>
        </w:rPr>
      </w:pPr>
      <w:bookmarkStart w:id="8" w:name="_Toc1328154"/>
      <w:r>
        <w:rPr>
          <w:rFonts w:eastAsia="Times New Roman"/>
          <w:lang w:val="fr-CA" w:eastAsia="fr-FR"/>
        </w:rPr>
        <w:t>Le droit québécois</w:t>
      </w:r>
      <w:r w:rsidR="00D42F44" w:rsidRPr="00D42F44">
        <w:rPr>
          <w:rFonts w:eastAsia="Times New Roman"/>
          <w:lang w:val="fr-CA" w:eastAsia="fr-FR"/>
        </w:rPr>
        <w:t xml:space="preserve"> à la déconnexion: proposition de disposition</w:t>
      </w:r>
      <w:r>
        <w:rPr>
          <w:rFonts w:eastAsia="Times New Roman"/>
          <w:lang w:val="fr-CA" w:eastAsia="fr-FR"/>
        </w:rPr>
        <w:t xml:space="preserve"> constitutionnelle</w:t>
      </w:r>
      <w:bookmarkEnd w:id="8"/>
    </w:p>
    <w:p w14:paraId="3157DF39" w14:textId="77777777" w:rsidR="00D42F44" w:rsidRPr="00D42F44" w:rsidRDefault="00D42F44" w:rsidP="006513C8">
      <w:pPr>
        <w:pStyle w:val="Style1"/>
        <w:tabs>
          <w:tab w:val="num" w:pos="567"/>
        </w:tabs>
      </w:pPr>
      <w:r w:rsidRPr="00D42F44">
        <w:tab/>
      </w:r>
      <w:r w:rsidR="006335F6">
        <w:t>Ce mémoire propose</w:t>
      </w:r>
      <w:r w:rsidRPr="00D42F44">
        <w:t xml:space="preserve"> la constitutionnalisation d’un droit à la déconnexion en prenant pour acquis que la </w:t>
      </w:r>
      <w:r w:rsidRPr="00D42F44">
        <w:rPr>
          <w:i/>
          <w:iCs/>
        </w:rPr>
        <w:t xml:space="preserve">Charte </w:t>
      </w:r>
      <w:r w:rsidRPr="00D42F44">
        <w:t xml:space="preserve">sera elle-même enchâssée dans la Constitution québécoise. Pour octroyer un statut constitutionnel aux droits économiques et sociaux garantis par la </w:t>
      </w:r>
      <w:r w:rsidRPr="00D42F44">
        <w:rPr>
          <w:i/>
          <w:iCs/>
        </w:rPr>
        <w:t>Charte</w:t>
      </w:r>
      <w:r w:rsidRPr="00D42F44">
        <w:t xml:space="preserve">, </w:t>
      </w:r>
      <w:r w:rsidRPr="0025175A">
        <w:rPr>
          <w:color w:val="000000" w:themeColor="text1"/>
        </w:rPr>
        <w:t xml:space="preserve">nous proposons </w:t>
      </w:r>
      <w:r w:rsidRPr="00D42F44">
        <w:t xml:space="preserve">dans un premier temps de modifier l’article 52 pour étendre sa portée aux articles 39 à 48 de la </w:t>
      </w:r>
      <w:r w:rsidRPr="0088662A">
        <w:rPr>
          <w:i/>
        </w:rPr>
        <w:t>Charte</w:t>
      </w:r>
      <w:r w:rsidRPr="00D42F44">
        <w:t>. Cette extension s’aligne d’ailleurs avec des recommandations de longue date de la Commission des droits de la personne et de la jeunesse</w:t>
      </w:r>
      <w:r w:rsidR="00EF1407">
        <w:t>.</w:t>
      </w:r>
      <w:r w:rsidR="00EF1407" w:rsidRPr="0032547B">
        <w:rPr>
          <w:rStyle w:val="Appelnotedebasdep"/>
        </w:rPr>
        <w:footnoteReference w:id="33"/>
      </w:r>
    </w:p>
    <w:p w14:paraId="131B550B" w14:textId="77777777" w:rsidR="00D42F44" w:rsidRPr="004D17E4" w:rsidRDefault="00D42F44" w:rsidP="000078F1">
      <w:pPr>
        <w:pStyle w:val="Style1"/>
      </w:pPr>
      <w:r w:rsidRPr="00D42F44">
        <w:t xml:space="preserve">Dans un </w:t>
      </w:r>
      <w:r w:rsidRPr="000078F1">
        <w:t>deuxième</w:t>
      </w:r>
      <w:r w:rsidRPr="00D42F44">
        <w:t xml:space="preserve"> temps, </w:t>
      </w:r>
      <w:r w:rsidR="004D17E4">
        <w:t xml:space="preserve">par la modification de l’article 46 de la </w:t>
      </w:r>
      <w:r w:rsidR="004D17E4" w:rsidRPr="0088662A">
        <w:rPr>
          <w:i/>
        </w:rPr>
        <w:t>Charte</w:t>
      </w:r>
      <w:r w:rsidR="004D17E4">
        <w:t>, qui se lirait comme suit :</w:t>
      </w:r>
    </w:p>
    <w:p w14:paraId="1A9A377A" w14:textId="77777777" w:rsidR="00D42F44" w:rsidRPr="00D42F44" w:rsidRDefault="00D42F44" w:rsidP="00D42F44">
      <w:pPr>
        <w:ind w:left="720" w:right="856"/>
        <w:jc w:val="both"/>
        <w:rPr>
          <w:rFonts w:ascii="Times New Roman" w:eastAsia="Times New Roman" w:hAnsi="Times New Roman" w:cs="Times New Roman"/>
          <w:noProof w:val="0"/>
          <w:lang w:val="fr-CA" w:eastAsia="fr-FR"/>
        </w:rPr>
      </w:pPr>
      <w:r w:rsidRPr="00D42F44">
        <w:rPr>
          <w:rFonts w:ascii="Times New Roman" w:eastAsia="Times New Roman" w:hAnsi="Times New Roman" w:cs="Times New Roman"/>
          <w:i/>
          <w:iCs/>
          <w:noProof w:val="0"/>
          <w:color w:val="000000"/>
          <w:lang w:val="fr-CA" w:eastAsia="fr-FR"/>
        </w:rPr>
        <w:t xml:space="preserve">46. </w:t>
      </w:r>
      <w:r w:rsidRPr="00D42F44">
        <w:rPr>
          <w:rFonts w:ascii="Times New Roman" w:eastAsia="Times New Roman" w:hAnsi="Times New Roman" w:cs="Times New Roman"/>
          <w:i/>
          <w:iCs/>
          <w:noProof w:val="0"/>
          <w:color w:val="000000"/>
          <w:shd w:val="clear" w:color="auto" w:fill="FFFFFF"/>
          <w:lang w:val="fr-CA" w:eastAsia="fr-FR"/>
        </w:rPr>
        <w:t xml:space="preserve">Toute personne qui travaille </w:t>
      </w:r>
      <w:proofErr w:type="gramStart"/>
      <w:r w:rsidRPr="00D42F44">
        <w:rPr>
          <w:rFonts w:ascii="Times New Roman" w:eastAsia="Times New Roman" w:hAnsi="Times New Roman" w:cs="Times New Roman"/>
          <w:i/>
          <w:iCs/>
          <w:noProof w:val="0"/>
          <w:color w:val="000000"/>
          <w:shd w:val="clear" w:color="auto" w:fill="FFFFFF"/>
          <w:lang w:val="fr-CA" w:eastAsia="fr-FR"/>
        </w:rPr>
        <w:t>a</w:t>
      </w:r>
      <w:proofErr w:type="gramEnd"/>
      <w:r w:rsidRPr="00D42F44">
        <w:rPr>
          <w:rFonts w:ascii="Times New Roman" w:eastAsia="Times New Roman" w:hAnsi="Times New Roman" w:cs="Times New Roman"/>
          <w:i/>
          <w:iCs/>
          <w:noProof w:val="0"/>
          <w:color w:val="000000"/>
          <w:shd w:val="clear" w:color="auto" w:fill="FFFFFF"/>
          <w:lang w:val="fr-CA" w:eastAsia="fr-FR"/>
        </w:rPr>
        <w:t xml:space="preserve"> droit, à des conditions de travail justes et favorables et qui respectent sa santé, sa sécurité et son intégrité physique </w:t>
      </w:r>
      <w:r w:rsidRPr="00D42F44">
        <w:rPr>
          <w:rFonts w:ascii="Times New Roman" w:eastAsia="Times New Roman" w:hAnsi="Times New Roman" w:cs="Times New Roman"/>
          <w:i/>
          <w:iCs/>
          <w:noProof w:val="0"/>
          <w:color w:val="000000"/>
          <w:u w:val="single"/>
          <w:shd w:val="clear" w:color="auto" w:fill="FFFFFF"/>
          <w:lang w:val="fr-CA" w:eastAsia="fr-FR"/>
        </w:rPr>
        <w:t>et psychologique</w:t>
      </w:r>
      <w:r w:rsidRPr="00D42F44">
        <w:rPr>
          <w:rFonts w:ascii="Times New Roman" w:eastAsia="Times New Roman" w:hAnsi="Times New Roman" w:cs="Times New Roman"/>
          <w:i/>
          <w:iCs/>
          <w:noProof w:val="0"/>
          <w:color w:val="000000"/>
          <w:shd w:val="clear" w:color="auto" w:fill="FFFFFF"/>
          <w:lang w:val="fr-CA" w:eastAsia="fr-FR"/>
        </w:rPr>
        <w:t xml:space="preserve"> </w:t>
      </w:r>
      <w:r w:rsidRPr="00D42F44">
        <w:rPr>
          <w:rFonts w:ascii="Times New Roman" w:eastAsia="Times New Roman" w:hAnsi="Times New Roman" w:cs="Times New Roman"/>
          <w:i/>
          <w:iCs/>
          <w:noProof w:val="0"/>
          <w:color w:val="000000"/>
          <w:u w:val="single"/>
          <w:shd w:val="clear" w:color="auto" w:fill="FFFFFF"/>
          <w:lang w:val="fr-CA" w:eastAsia="fr-FR"/>
        </w:rPr>
        <w:t>et l’équilibre entre sa vie personnelle et professionnelle</w:t>
      </w:r>
      <w:r w:rsidR="00C06BC0">
        <w:rPr>
          <w:rFonts w:ascii="Times New Roman" w:eastAsia="Times New Roman" w:hAnsi="Times New Roman" w:cs="Times New Roman"/>
          <w:i/>
          <w:iCs/>
          <w:noProof w:val="0"/>
          <w:color w:val="000000"/>
          <w:shd w:val="clear" w:color="auto" w:fill="FFFFFF"/>
          <w:lang w:val="fr-CA" w:eastAsia="fr-FR"/>
        </w:rPr>
        <w:t>.</w:t>
      </w:r>
    </w:p>
    <w:p w14:paraId="294F0ACE" w14:textId="77777777" w:rsidR="00D42F44" w:rsidRPr="00D42F44" w:rsidRDefault="00D42F44" w:rsidP="00D42F44">
      <w:pPr>
        <w:rPr>
          <w:rFonts w:ascii="Times New Roman" w:eastAsia="Times New Roman" w:hAnsi="Times New Roman" w:cs="Times New Roman"/>
          <w:noProof w:val="0"/>
          <w:lang w:val="fr-CA" w:eastAsia="fr-FR"/>
        </w:rPr>
      </w:pPr>
    </w:p>
    <w:p w14:paraId="17C165AA" w14:textId="01D1F0B6" w:rsidR="00C33E2A" w:rsidRDefault="00D42F44" w:rsidP="00C33E2A">
      <w:pPr>
        <w:ind w:left="720" w:right="856"/>
        <w:jc w:val="both"/>
        <w:rPr>
          <w:rFonts w:ascii="Times New Roman" w:eastAsia="Times New Roman" w:hAnsi="Times New Roman" w:cs="Times New Roman"/>
          <w:i/>
          <w:iCs/>
          <w:noProof w:val="0"/>
          <w:color w:val="000000"/>
          <w:u w:val="single"/>
          <w:shd w:val="clear" w:color="auto" w:fill="FFFFFF"/>
          <w:lang w:val="fr-CA" w:eastAsia="fr-FR"/>
        </w:rPr>
      </w:pPr>
      <w:r w:rsidRPr="00D42F44">
        <w:rPr>
          <w:rFonts w:ascii="Times New Roman" w:eastAsia="Times New Roman" w:hAnsi="Times New Roman" w:cs="Times New Roman"/>
          <w:i/>
          <w:iCs/>
          <w:noProof w:val="0"/>
          <w:color w:val="000000"/>
          <w:u w:val="single"/>
          <w:shd w:val="clear" w:color="auto" w:fill="FFFFFF"/>
          <w:lang w:val="fr-CA" w:eastAsia="fr-FR"/>
        </w:rPr>
        <w:t xml:space="preserve">À ces fins, la loi garantit et met en </w:t>
      </w:r>
      <w:r w:rsidR="00C06BC0" w:rsidRPr="00C06BC0">
        <w:rPr>
          <w:rFonts w:ascii="Times New Roman" w:eastAsia="Times New Roman" w:hAnsi="Times New Roman" w:cs="Times New Roman"/>
          <w:i/>
          <w:iCs/>
          <w:noProof w:val="0"/>
          <w:color w:val="000000"/>
          <w:u w:val="single"/>
          <w:shd w:val="clear" w:color="auto" w:fill="FFFFFF"/>
          <w:lang w:val="fr-CA" w:eastAsia="fr-FR"/>
        </w:rPr>
        <w:t>œ</w:t>
      </w:r>
      <w:r w:rsidRPr="00D42F44">
        <w:rPr>
          <w:rFonts w:ascii="Times New Roman" w:eastAsia="Times New Roman" w:hAnsi="Times New Roman" w:cs="Times New Roman"/>
          <w:i/>
          <w:iCs/>
          <w:noProof w:val="0"/>
          <w:color w:val="000000"/>
          <w:u w:val="single"/>
          <w:shd w:val="clear" w:color="auto" w:fill="FFFFFF"/>
          <w:lang w:val="fr-CA" w:eastAsia="fr-FR"/>
        </w:rPr>
        <w:t>uvre, notamment, le droit à la déconnexion.</w:t>
      </w:r>
    </w:p>
    <w:p w14:paraId="7F078555" w14:textId="1FAAB48E" w:rsidR="00C33E2A" w:rsidRPr="00B37984" w:rsidRDefault="00C33E2A" w:rsidP="00C33E2A">
      <w:pPr>
        <w:pStyle w:val="Style1"/>
        <w:rPr>
          <w:shd w:val="clear" w:color="auto" w:fill="FFFFFF"/>
        </w:rPr>
      </w:pPr>
      <w:r w:rsidRPr="00B37984">
        <w:rPr>
          <w:shd w:val="clear" w:color="auto" w:fill="FFFFFF"/>
        </w:rPr>
        <w:t xml:space="preserve">Il est à noter que dans un contexte fédéral canadien actuel certains emplois sont sous le couvert du </w:t>
      </w:r>
      <w:r w:rsidRPr="00B37984">
        <w:rPr>
          <w:i/>
          <w:shd w:val="clear" w:color="auto" w:fill="FFFFFF"/>
        </w:rPr>
        <w:t xml:space="preserve">Code </w:t>
      </w:r>
      <w:r w:rsidR="00B37984" w:rsidRPr="00B37984">
        <w:rPr>
          <w:i/>
          <w:shd w:val="clear" w:color="auto" w:fill="FFFFFF"/>
        </w:rPr>
        <w:t>c</w:t>
      </w:r>
      <w:r w:rsidRPr="00B37984">
        <w:rPr>
          <w:i/>
          <w:shd w:val="clear" w:color="auto" w:fill="FFFFFF"/>
        </w:rPr>
        <w:t xml:space="preserve">anadien du </w:t>
      </w:r>
      <w:r w:rsidR="00B37984" w:rsidRPr="00B37984">
        <w:rPr>
          <w:i/>
          <w:shd w:val="clear" w:color="auto" w:fill="FFFFFF"/>
        </w:rPr>
        <w:t>t</w:t>
      </w:r>
      <w:r w:rsidRPr="00B37984">
        <w:rPr>
          <w:i/>
          <w:shd w:val="clear" w:color="auto" w:fill="FFFFFF"/>
        </w:rPr>
        <w:t>ravai</w:t>
      </w:r>
      <w:r w:rsidR="00B37984" w:rsidRPr="00B37984">
        <w:rPr>
          <w:i/>
          <w:shd w:val="clear" w:color="auto" w:fill="FFFFFF"/>
        </w:rPr>
        <w:t xml:space="preserve">l, </w:t>
      </w:r>
      <w:r w:rsidR="00B37984" w:rsidRPr="00B37984">
        <w:rPr>
          <w:shd w:val="clear" w:color="auto" w:fill="FFFFFF"/>
        </w:rPr>
        <w:t>comme, e</w:t>
      </w:r>
      <w:r w:rsidRPr="00B37984">
        <w:rPr>
          <w:shd w:val="clear" w:color="auto" w:fill="FFFFFF"/>
        </w:rPr>
        <w:t>ntre autre</w:t>
      </w:r>
      <w:r w:rsidR="00C41037" w:rsidRPr="00B37984">
        <w:rPr>
          <w:shd w:val="clear" w:color="auto" w:fill="FFFFFF"/>
        </w:rPr>
        <w:t>s</w:t>
      </w:r>
      <w:r w:rsidR="00B37984" w:rsidRPr="00B37984">
        <w:rPr>
          <w:shd w:val="clear" w:color="auto" w:fill="FFFFFF"/>
        </w:rPr>
        <w:t>,</w:t>
      </w:r>
      <w:r w:rsidRPr="00B37984">
        <w:rPr>
          <w:shd w:val="clear" w:color="auto" w:fill="FFFFFF"/>
        </w:rPr>
        <w:t xml:space="preserve"> les emploi</w:t>
      </w:r>
      <w:r w:rsidR="00C41037" w:rsidRPr="00B37984">
        <w:rPr>
          <w:shd w:val="clear" w:color="auto" w:fill="FFFFFF"/>
        </w:rPr>
        <w:t>s</w:t>
      </w:r>
      <w:r w:rsidRPr="00B37984">
        <w:rPr>
          <w:shd w:val="clear" w:color="auto" w:fill="FFFFFF"/>
        </w:rPr>
        <w:t xml:space="preserve"> </w:t>
      </w:r>
      <w:r w:rsidR="00C41037" w:rsidRPr="00B37984">
        <w:rPr>
          <w:shd w:val="clear" w:color="auto" w:fill="FFFFFF"/>
        </w:rPr>
        <w:t xml:space="preserve">dans le domaine de la radiodiffusion et télédiffusion, aéroports, transports interprovinciaux, banques, etc. Il est donc possible que les constituants souhaitent ajouter une clause stipulant que l’article 46 </w:t>
      </w:r>
      <w:r w:rsidR="00B37984" w:rsidRPr="00B37984">
        <w:rPr>
          <w:shd w:val="clear" w:color="auto" w:fill="FFFFFF"/>
        </w:rPr>
        <w:t>ait</w:t>
      </w:r>
      <w:r w:rsidR="00C41037" w:rsidRPr="00B37984">
        <w:rPr>
          <w:shd w:val="clear" w:color="auto" w:fill="FFFFFF"/>
        </w:rPr>
        <w:t xml:space="preserve"> prépondérance sur la loi </w:t>
      </w:r>
      <w:r w:rsidR="00163827" w:rsidRPr="00B37984">
        <w:rPr>
          <w:shd w:val="clear" w:color="auto" w:fill="FFFFFF"/>
        </w:rPr>
        <w:t>c</w:t>
      </w:r>
      <w:r w:rsidR="00C41037" w:rsidRPr="00B37984">
        <w:rPr>
          <w:shd w:val="clear" w:color="auto" w:fill="FFFFFF"/>
        </w:rPr>
        <w:t xml:space="preserve">anadienne. </w:t>
      </w:r>
    </w:p>
    <w:p w14:paraId="32AD5FDB" w14:textId="77777777" w:rsidR="00D42F44" w:rsidRPr="00D42F44" w:rsidRDefault="00D42F44" w:rsidP="00EF1407">
      <w:pPr>
        <w:pStyle w:val="Titre1"/>
        <w:ind w:left="851" w:hanging="851"/>
        <w:rPr>
          <w:rFonts w:eastAsia="Times New Roman"/>
          <w:lang w:val="fr-CA" w:eastAsia="fr-FR"/>
        </w:rPr>
      </w:pPr>
      <w:bookmarkStart w:id="9" w:name="_Toc1328155"/>
      <w:r w:rsidRPr="00D42F44">
        <w:rPr>
          <w:rFonts w:eastAsia="Times New Roman"/>
          <w:lang w:val="fr-CA" w:eastAsia="fr-FR"/>
        </w:rPr>
        <w:lastRenderedPageBreak/>
        <w:t>Conclusion</w:t>
      </w:r>
      <w:bookmarkEnd w:id="9"/>
      <w:r w:rsidRPr="00D42F44">
        <w:rPr>
          <w:rFonts w:eastAsia="Times New Roman"/>
          <w:lang w:val="fr-CA" w:eastAsia="fr-FR"/>
        </w:rPr>
        <w:t xml:space="preserve"> </w:t>
      </w:r>
    </w:p>
    <w:p w14:paraId="68587EC4" w14:textId="7FE5CC05" w:rsidR="00AA6BD9" w:rsidRPr="007D498C" w:rsidRDefault="0038686B" w:rsidP="007D498C">
      <w:pPr>
        <w:pStyle w:val="Style1"/>
      </w:pPr>
      <w:r>
        <w:t>I</w:t>
      </w:r>
      <w:r w:rsidR="00D42F44" w:rsidRPr="00D42F44">
        <w:t>l appert que l’</w:t>
      </w:r>
      <w:r w:rsidR="0088662A">
        <w:t>hyper-connectivité</w:t>
      </w:r>
      <w:r w:rsidR="00D42F44" w:rsidRPr="00D42F44">
        <w:t xml:space="preserve"> entraîne des problématiques autant psychologiques que sociales. Si des initiatives organisationnelles y répondent partiellement, il n’en demeure pas moins qu’une injonction à se connecter semble peser sur les Québécoises et les Québécois. Cette injonction dépasse évidemment le cadre du milieu de travail. Ainsi, bien que notre exposé se soit concentré sur le droit à la déconnexion dans le contexte du travail, il serait optimal d’ench</w:t>
      </w:r>
      <w:r>
        <w:t>â</w:t>
      </w:r>
      <w:r w:rsidR="00D42F44" w:rsidRPr="00D42F44">
        <w:t>sser dans la Constitution québécoise un droit à la déconnexion plus large qui s’appliquerait aux travailleurs, mais aussi, entre autres, aux étudiants.</w:t>
      </w:r>
      <w:r w:rsidR="00AA6BD9">
        <w:br w:type="page"/>
      </w:r>
    </w:p>
    <w:p w14:paraId="260407E3" w14:textId="77777777" w:rsidR="00D4173A" w:rsidRDefault="00D42F44" w:rsidP="00EF1407">
      <w:pPr>
        <w:pStyle w:val="Titre1"/>
        <w:jc w:val="center"/>
        <w:rPr>
          <w:rFonts w:eastAsia="Times New Roman"/>
          <w:lang w:val="fr-CA" w:eastAsia="fr-FR"/>
        </w:rPr>
      </w:pPr>
      <w:bookmarkStart w:id="10" w:name="_Toc1328156"/>
      <w:r w:rsidRPr="00D42F44">
        <w:rPr>
          <w:rFonts w:eastAsia="Times New Roman"/>
          <w:lang w:val="fr-CA" w:eastAsia="fr-FR"/>
        </w:rPr>
        <w:lastRenderedPageBreak/>
        <w:t>Liste des autorités citées</w:t>
      </w:r>
      <w:bookmarkEnd w:id="10"/>
    </w:p>
    <w:p w14:paraId="03AF4B69" w14:textId="77777777" w:rsidR="00EF1407" w:rsidRDefault="00EF1407" w:rsidP="00C64A15">
      <w:pPr>
        <w:rPr>
          <w:rFonts w:ascii="Times New Roman" w:hAnsi="Times New Roman" w:cs="Times New Roman"/>
          <w:sz w:val="21"/>
          <w:szCs w:val="21"/>
          <w:lang w:val="fr-CA" w:eastAsia="fr-FR"/>
        </w:rPr>
      </w:pPr>
    </w:p>
    <w:p w14:paraId="76ECBA9B" w14:textId="53D19932" w:rsidR="00C64A15" w:rsidRDefault="00C64A15" w:rsidP="0088662A">
      <w:pPr>
        <w:spacing w:before="120" w:after="120"/>
        <w:rPr>
          <w:rFonts w:ascii="Times New Roman" w:hAnsi="Times New Roman" w:cs="Times New Roman"/>
          <w:sz w:val="21"/>
          <w:szCs w:val="21"/>
          <w:lang w:val="fr-CA" w:eastAsia="fr-FR"/>
        </w:rPr>
      </w:pPr>
      <w:r w:rsidRPr="0088662A">
        <w:rPr>
          <w:rFonts w:ascii="Times New Roman" w:hAnsi="Times New Roman" w:cs="Times New Roman"/>
          <w:sz w:val="21"/>
          <w:szCs w:val="21"/>
          <w:lang w:val="fr-CA" w:eastAsia="fr-FR"/>
        </w:rPr>
        <w:t>LÉGISLATION &amp; TRAITÉS</w:t>
      </w:r>
    </w:p>
    <w:p w14:paraId="2AEF0608" w14:textId="29038724" w:rsidR="00C41037" w:rsidRDefault="00C41037" w:rsidP="00C41037">
      <w:pPr>
        <w:pStyle w:val="Bibliography1"/>
        <w:spacing w:before="120" w:after="120"/>
        <w:rPr>
          <w:rFonts w:ascii="Times New Roman" w:hAnsi="Times New Roman" w:cs="Times New Roman"/>
          <w:sz w:val="21"/>
          <w:szCs w:val="21"/>
        </w:rPr>
      </w:pPr>
      <w:r w:rsidRPr="0088662A">
        <w:rPr>
          <w:rFonts w:ascii="Times New Roman" w:hAnsi="Times New Roman" w:cs="Times New Roman"/>
          <w:i/>
          <w:iCs/>
          <w:sz w:val="21"/>
          <w:szCs w:val="21"/>
        </w:rPr>
        <w:t>Charte des droits et libertés de la personne</w:t>
      </w:r>
      <w:r w:rsidRPr="0088662A">
        <w:rPr>
          <w:rFonts w:ascii="Times New Roman" w:hAnsi="Times New Roman" w:cs="Times New Roman"/>
          <w:sz w:val="21"/>
          <w:szCs w:val="21"/>
        </w:rPr>
        <w:t>, RLRQ c C-12.</w:t>
      </w:r>
    </w:p>
    <w:p w14:paraId="77D9DEC7" w14:textId="2D3830C3" w:rsidR="00C41037" w:rsidRDefault="00C41037" w:rsidP="00C41037">
      <w:pPr>
        <w:pStyle w:val="Bibliography1"/>
        <w:spacing w:before="120" w:after="120"/>
        <w:rPr>
          <w:rFonts w:ascii="Times New Roman" w:hAnsi="Times New Roman" w:cs="Times New Roman"/>
          <w:sz w:val="21"/>
          <w:szCs w:val="21"/>
        </w:rPr>
      </w:pPr>
      <w:r w:rsidRPr="00C41037">
        <w:rPr>
          <w:rFonts w:ascii="Times New Roman" w:hAnsi="Times New Roman" w:cs="Times New Roman"/>
          <w:i/>
          <w:sz w:val="21"/>
          <w:szCs w:val="21"/>
        </w:rPr>
        <w:t>Code canadien du travail</w:t>
      </w:r>
      <w:r>
        <w:rPr>
          <w:rFonts w:ascii="Times New Roman" w:hAnsi="Times New Roman" w:cs="Times New Roman"/>
          <w:i/>
          <w:sz w:val="21"/>
          <w:szCs w:val="21"/>
        </w:rPr>
        <w:t>,</w:t>
      </w:r>
      <w:r w:rsidRPr="00C41037">
        <w:rPr>
          <w:rFonts w:ascii="Times New Roman" w:hAnsi="Times New Roman" w:cs="Times New Roman"/>
          <w:sz w:val="21"/>
          <w:szCs w:val="21"/>
        </w:rPr>
        <w:t xml:space="preserve"> </w:t>
      </w:r>
      <w:r>
        <w:rPr>
          <w:rFonts w:ascii="Times New Roman" w:hAnsi="Times New Roman" w:cs="Times New Roman"/>
          <w:sz w:val="21"/>
          <w:szCs w:val="21"/>
        </w:rPr>
        <w:t>LRC</w:t>
      </w:r>
      <w:r w:rsidRPr="00C41037">
        <w:rPr>
          <w:rFonts w:ascii="Times New Roman" w:hAnsi="Times New Roman" w:cs="Times New Roman"/>
          <w:sz w:val="21"/>
          <w:szCs w:val="21"/>
        </w:rPr>
        <w:t xml:space="preserve"> 1985, ch L-2</w:t>
      </w:r>
      <w:r>
        <w:rPr>
          <w:rFonts w:ascii="Times New Roman" w:hAnsi="Times New Roman" w:cs="Times New Roman"/>
          <w:sz w:val="21"/>
          <w:szCs w:val="21"/>
        </w:rPr>
        <w:t>.</w:t>
      </w:r>
    </w:p>
    <w:p w14:paraId="5FB365AE" w14:textId="59B534C6" w:rsidR="00C41037" w:rsidRDefault="00C41037" w:rsidP="00C41037">
      <w:pPr>
        <w:pStyle w:val="Bibliography1"/>
        <w:spacing w:before="120" w:after="120"/>
        <w:rPr>
          <w:rFonts w:ascii="Times New Roman" w:hAnsi="Times New Roman" w:cs="Times New Roman"/>
          <w:sz w:val="21"/>
          <w:szCs w:val="21"/>
        </w:rPr>
      </w:pPr>
      <w:r w:rsidRPr="0088662A">
        <w:rPr>
          <w:rFonts w:ascii="Times New Roman" w:hAnsi="Times New Roman" w:cs="Times New Roman"/>
          <w:i/>
          <w:iCs/>
          <w:sz w:val="21"/>
          <w:szCs w:val="21"/>
        </w:rPr>
        <w:t>Code civil du Québec</w:t>
      </w:r>
      <w:r w:rsidRPr="0088662A">
        <w:rPr>
          <w:rFonts w:ascii="Times New Roman" w:hAnsi="Times New Roman" w:cs="Times New Roman"/>
          <w:sz w:val="21"/>
          <w:szCs w:val="21"/>
        </w:rPr>
        <w:t>, RLRQ c CCQ-1991.</w:t>
      </w:r>
    </w:p>
    <w:p w14:paraId="4EB09D75" w14:textId="32F4D8A4" w:rsidR="00163827" w:rsidRPr="0039167F" w:rsidRDefault="00163827" w:rsidP="00163827">
      <w:pPr>
        <w:pStyle w:val="Bibliography1"/>
        <w:spacing w:before="120" w:after="120"/>
        <w:rPr>
          <w:rFonts w:ascii="Times New Roman" w:hAnsi="Times New Roman" w:cs="Times New Roman"/>
          <w:color w:val="212121"/>
          <w:sz w:val="21"/>
          <w:szCs w:val="21"/>
        </w:rPr>
      </w:pPr>
      <w:r w:rsidRPr="0039167F">
        <w:rPr>
          <w:rStyle w:val="Accentuation"/>
          <w:rFonts w:ascii="Times New Roman" w:hAnsi="Times New Roman" w:cs="Times New Roman"/>
          <w:color w:val="212121"/>
          <w:sz w:val="21"/>
          <w:szCs w:val="21"/>
        </w:rPr>
        <w:t>Loi El Khomri (l</w:t>
      </w:r>
      <w:bookmarkStart w:id="11" w:name="_GoBack"/>
      <w:bookmarkEnd w:id="11"/>
      <w:r w:rsidRPr="0039167F">
        <w:rPr>
          <w:rStyle w:val="Accentuation"/>
          <w:rFonts w:ascii="Times New Roman" w:hAnsi="Times New Roman" w:cs="Times New Roman"/>
          <w:color w:val="212121"/>
          <w:sz w:val="21"/>
          <w:szCs w:val="21"/>
        </w:rPr>
        <w:t>oi</w:t>
      </w:r>
      <w:r w:rsidR="005A267C" w:rsidRPr="0039167F">
        <w:rPr>
          <w:rStyle w:val="Accentuation"/>
          <w:rFonts w:ascii="Times New Roman" w:hAnsi="Times New Roman" w:cs="Times New Roman"/>
          <w:color w:val="212121"/>
          <w:sz w:val="21"/>
          <w:szCs w:val="21"/>
        </w:rPr>
        <w:t xml:space="preserve"> travail</w:t>
      </w:r>
      <w:r w:rsidRPr="0039167F">
        <w:rPr>
          <w:rStyle w:val="Accentuation"/>
          <w:rFonts w:ascii="Times New Roman" w:hAnsi="Times New Roman" w:cs="Times New Roman"/>
          <w:color w:val="212121"/>
          <w:sz w:val="21"/>
          <w:szCs w:val="21"/>
        </w:rPr>
        <w:t xml:space="preserve">), </w:t>
      </w:r>
      <w:r w:rsidRPr="0039167F">
        <w:rPr>
          <w:rStyle w:val="Accentuation"/>
          <w:rFonts w:ascii="Times New Roman" w:hAnsi="Times New Roman" w:cs="Times New Roman"/>
          <w:i w:val="0"/>
          <w:color w:val="212121"/>
          <w:sz w:val="21"/>
          <w:szCs w:val="21"/>
        </w:rPr>
        <w:t>2016-1088,</w:t>
      </w:r>
      <w:r w:rsidRPr="0039167F">
        <w:rPr>
          <w:rStyle w:val="Accentuation"/>
          <w:rFonts w:ascii="Times New Roman" w:hAnsi="Times New Roman" w:cs="Times New Roman"/>
          <w:color w:val="212121"/>
          <w:sz w:val="21"/>
          <w:szCs w:val="21"/>
        </w:rPr>
        <w:t xml:space="preserve"> </w:t>
      </w:r>
      <w:r w:rsidRPr="0039167F">
        <w:rPr>
          <w:rFonts w:ascii="Times New Roman" w:hAnsi="Times New Roman" w:cs="Times New Roman"/>
          <w:color w:val="212121"/>
          <w:sz w:val="21"/>
          <w:szCs w:val="21"/>
        </w:rPr>
        <w:t>JORF 0184, 2016, texte n° 3, 9 août 2016.</w:t>
      </w:r>
    </w:p>
    <w:p w14:paraId="17B67B9B" w14:textId="1D77255A" w:rsidR="00163827" w:rsidRPr="0088662A" w:rsidRDefault="00163827" w:rsidP="00163827">
      <w:pPr>
        <w:pStyle w:val="Bibliography1"/>
        <w:spacing w:before="120" w:after="120"/>
        <w:rPr>
          <w:rFonts w:ascii="Times New Roman" w:hAnsi="Times New Roman" w:cs="Times New Roman"/>
          <w:sz w:val="21"/>
          <w:szCs w:val="21"/>
        </w:rPr>
      </w:pPr>
      <w:r w:rsidRPr="0088662A">
        <w:rPr>
          <w:rFonts w:ascii="Times New Roman" w:hAnsi="Times New Roman" w:cs="Times New Roman"/>
          <w:i/>
          <w:iCs/>
          <w:sz w:val="21"/>
          <w:szCs w:val="21"/>
        </w:rPr>
        <w:t>Loi sur les normes du travail</w:t>
      </w:r>
      <w:r w:rsidRPr="0088662A">
        <w:rPr>
          <w:rFonts w:ascii="Times New Roman" w:hAnsi="Times New Roman" w:cs="Times New Roman"/>
          <w:sz w:val="21"/>
          <w:szCs w:val="21"/>
        </w:rPr>
        <w:t>, RLRQ, c N-1.1.</w:t>
      </w:r>
    </w:p>
    <w:p w14:paraId="4238395F" w14:textId="77777777" w:rsidR="00C64A15" w:rsidRPr="0088662A" w:rsidRDefault="00C64A15" w:rsidP="0088662A">
      <w:pPr>
        <w:pStyle w:val="Bibliography1"/>
        <w:spacing w:before="120" w:after="120"/>
        <w:ind w:left="709" w:hanging="709"/>
        <w:rPr>
          <w:rFonts w:ascii="Times New Roman" w:hAnsi="Times New Roman" w:cs="Times New Roman"/>
          <w:sz w:val="21"/>
          <w:szCs w:val="21"/>
        </w:rPr>
      </w:pPr>
      <w:r w:rsidRPr="0088662A">
        <w:rPr>
          <w:rFonts w:ascii="Times New Roman" w:hAnsi="Times New Roman" w:cs="Times New Roman"/>
          <w:i/>
          <w:iCs/>
          <w:sz w:val="21"/>
          <w:szCs w:val="21"/>
          <w:lang w:val="fr-FR"/>
        </w:rPr>
        <w:t xml:space="preserve">Pacte international relatif aux droits économiques, sociaux et culturels, </w:t>
      </w:r>
      <w:r w:rsidRPr="0088662A">
        <w:rPr>
          <w:rFonts w:ascii="Times New Roman" w:hAnsi="Times New Roman" w:cs="Times New Roman"/>
          <w:iCs/>
          <w:sz w:val="21"/>
          <w:szCs w:val="21"/>
          <w:lang w:val="fr-FR"/>
        </w:rPr>
        <w:t>19 décembre 1966, 993 RTNU 13, (entrée en vigueur : 3 janvier 1976, accession du Canada : 19 août 1976)</w:t>
      </w:r>
      <w:r w:rsidRPr="0088662A">
        <w:rPr>
          <w:rFonts w:ascii="Times New Roman" w:hAnsi="Times New Roman" w:cs="Times New Roman"/>
          <w:sz w:val="21"/>
          <w:szCs w:val="21"/>
        </w:rPr>
        <w:t>.</w:t>
      </w:r>
    </w:p>
    <w:p w14:paraId="01FDBCF8" w14:textId="77777777" w:rsidR="00C64A15" w:rsidRPr="0088662A" w:rsidRDefault="00C64A15"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 xml:space="preserve">PL 143, </w:t>
      </w:r>
      <w:r w:rsidRPr="0088662A">
        <w:rPr>
          <w:rFonts w:ascii="Times New Roman" w:hAnsi="Times New Roman" w:cs="Times New Roman"/>
          <w:i/>
          <w:iCs/>
          <w:sz w:val="21"/>
          <w:szCs w:val="21"/>
        </w:rPr>
        <w:t>Loi modifiant la Loi sur les normes du travail et d’autres dispositions législatives</w:t>
      </w:r>
      <w:r w:rsidRPr="0088662A">
        <w:rPr>
          <w:rFonts w:ascii="Times New Roman" w:hAnsi="Times New Roman" w:cs="Times New Roman"/>
          <w:sz w:val="21"/>
          <w:szCs w:val="21"/>
        </w:rPr>
        <w:t>, 2e sess, 36e lég, Québec, 7 novembre 2002.</w:t>
      </w:r>
    </w:p>
    <w:p w14:paraId="7E472632" w14:textId="77777777" w:rsidR="00C64A15" w:rsidRPr="0088662A" w:rsidRDefault="00C64A15"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 xml:space="preserve">PL 1097, </w:t>
      </w:r>
      <w:r w:rsidRPr="0088662A">
        <w:rPr>
          <w:rFonts w:ascii="Times New Roman" w:hAnsi="Times New Roman" w:cs="Times New Roman"/>
          <w:i/>
          <w:iCs/>
          <w:sz w:val="21"/>
          <w:szCs w:val="21"/>
        </w:rPr>
        <w:t>Loi sur le droit à la déconnexion</w:t>
      </w:r>
      <w:r w:rsidRPr="0088662A">
        <w:rPr>
          <w:rFonts w:ascii="Times New Roman" w:hAnsi="Times New Roman" w:cs="Times New Roman"/>
          <w:sz w:val="21"/>
          <w:szCs w:val="21"/>
        </w:rPr>
        <w:t>, 1re sess, 41e lég, Québec, 22 mars 2018.</w:t>
      </w:r>
    </w:p>
    <w:p w14:paraId="158B203F" w14:textId="77777777" w:rsidR="00C64A15" w:rsidRPr="0088662A" w:rsidRDefault="00C64A15" w:rsidP="0088662A">
      <w:pPr>
        <w:spacing w:before="120" w:after="120"/>
        <w:rPr>
          <w:rFonts w:ascii="Times New Roman" w:hAnsi="Times New Roman" w:cs="Times New Roman"/>
          <w:sz w:val="21"/>
          <w:szCs w:val="21"/>
          <w:lang w:val="fr-CA" w:eastAsia="fr-FR"/>
        </w:rPr>
      </w:pPr>
      <w:r w:rsidRPr="0088662A">
        <w:rPr>
          <w:rFonts w:ascii="Times New Roman" w:hAnsi="Times New Roman" w:cs="Times New Roman"/>
          <w:sz w:val="21"/>
          <w:szCs w:val="21"/>
          <w:lang w:val="fr-CA" w:eastAsia="fr-FR"/>
        </w:rPr>
        <w:t>DOCTRINE : MONOGRAPHIES</w:t>
      </w:r>
    </w:p>
    <w:p w14:paraId="1560C2CB" w14:textId="2237D1AF" w:rsidR="00EF1407" w:rsidRPr="0088662A" w:rsidRDefault="0088662A"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 xml:space="preserve">Revelin, Marie-France. « Le télétravail: mode d’emploi pour concilier travail et vie personnelle? » dans par Gilles Laflamme, </w:t>
      </w:r>
      <w:r w:rsidRPr="0088662A">
        <w:rPr>
          <w:rFonts w:ascii="Times New Roman" w:hAnsi="Times New Roman" w:cs="Times New Roman"/>
          <w:i/>
          <w:iCs/>
          <w:sz w:val="21"/>
          <w:szCs w:val="21"/>
        </w:rPr>
        <w:t>Le travail tentaculaire: existe-t-il une vie hors du travail?</w:t>
      </w:r>
      <w:r w:rsidRPr="0088662A">
        <w:rPr>
          <w:rFonts w:ascii="Times New Roman" w:hAnsi="Times New Roman" w:cs="Times New Roman"/>
          <w:sz w:val="21"/>
          <w:szCs w:val="21"/>
        </w:rPr>
        <w:t>, Québec, Presses de l’Université Laval, 2005.</w:t>
      </w:r>
    </w:p>
    <w:p w14:paraId="3C1D982C" w14:textId="77777777" w:rsidR="00C64A15" w:rsidRPr="0088662A" w:rsidRDefault="00C64A15" w:rsidP="0088662A">
      <w:pPr>
        <w:spacing w:before="120" w:after="120"/>
        <w:rPr>
          <w:rFonts w:ascii="Times New Roman" w:hAnsi="Times New Roman" w:cs="Times New Roman"/>
          <w:sz w:val="21"/>
          <w:szCs w:val="21"/>
          <w:lang w:val="fr-CA" w:eastAsia="fr-FR"/>
        </w:rPr>
      </w:pPr>
      <w:r w:rsidRPr="0088662A">
        <w:rPr>
          <w:rFonts w:ascii="Times New Roman" w:hAnsi="Times New Roman" w:cs="Times New Roman"/>
          <w:sz w:val="21"/>
          <w:szCs w:val="21"/>
          <w:lang w:val="fr-CA" w:eastAsia="fr-FR"/>
        </w:rPr>
        <w:t>DOCTRINE : ARTICLES</w:t>
      </w:r>
    </w:p>
    <w:p w14:paraId="49DE2528" w14:textId="77777777" w:rsidR="00B159D9" w:rsidRPr="0088662A" w:rsidRDefault="00B159D9"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 xml:space="preserve">Amstad, F. T., L. L. Meier, U. Fasel, A. Elfering et N. K. Semmer. </w:t>
      </w:r>
      <w:r w:rsidRPr="0088662A">
        <w:rPr>
          <w:rFonts w:ascii="Times New Roman" w:hAnsi="Times New Roman" w:cs="Times New Roman"/>
          <w:sz w:val="21"/>
          <w:szCs w:val="21"/>
          <w:lang w:val="en-CA"/>
        </w:rPr>
        <w:t xml:space="preserve">« A meta-analysis of work–family conflict and various outcomes with a special emphasis on cross-domain versus matching-domain relations. » </w:t>
      </w:r>
      <w:r w:rsidRPr="0088662A">
        <w:rPr>
          <w:rFonts w:ascii="Times New Roman" w:hAnsi="Times New Roman" w:cs="Times New Roman"/>
          <w:sz w:val="21"/>
          <w:szCs w:val="21"/>
        </w:rPr>
        <w:t>(2011) 16:2 Journal of Occupational Health Psychology 151‑169.</w:t>
      </w:r>
    </w:p>
    <w:p w14:paraId="6A445EDF" w14:textId="77777777" w:rsidR="00B159D9" w:rsidRPr="0088662A" w:rsidRDefault="00B159D9"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Anac, Boboc. « Numérique et travail: quelles influences? » (2017) 34:1 Sociologies pratiques 3‑12.</w:t>
      </w:r>
    </w:p>
    <w:p w14:paraId="696F0215" w14:textId="77777777" w:rsidR="00B159D9" w:rsidRPr="0088662A" w:rsidRDefault="00B159D9"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Bouton, Christophe. « Vitesse, accélération, urgence: remarques à propos de la chronopolitique » (2017) 19:1 Sens-Dessous 75‑84.</w:t>
      </w:r>
    </w:p>
    <w:p w14:paraId="0D4AE129" w14:textId="77777777" w:rsidR="00B159D9" w:rsidRPr="0088662A" w:rsidRDefault="00B159D9" w:rsidP="0088662A">
      <w:pPr>
        <w:pStyle w:val="Bibliography1"/>
        <w:spacing w:before="120" w:after="120"/>
        <w:rPr>
          <w:rFonts w:ascii="Times New Roman" w:hAnsi="Times New Roman" w:cs="Times New Roman"/>
          <w:sz w:val="21"/>
          <w:szCs w:val="21"/>
          <w:lang w:val="en-CA"/>
        </w:rPr>
      </w:pPr>
      <w:r w:rsidRPr="001D6F15">
        <w:rPr>
          <w:rFonts w:ascii="Times New Roman" w:hAnsi="Times New Roman" w:cs="Times New Roman"/>
          <w:sz w:val="21"/>
          <w:szCs w:val="21"/>
        </w:rPr>
        <w:t xml:space="preserve">Lallukka, T., O. Rahkonen, E. Lahelma et S. Arber. </w:t>
      </w:r>
      <w:r w:rsidRPr="0088662A">
        <w:rPr>
          <w:rFonts w:ascii="Times New Roman" w:hAnsi="Times New Roman" w:cs="Times New Roman"/>
          <w:sz w:val="21"/>
          <w:szCs w:val="21"/>
          <w:lang w:val="en-CA"/>
        </w:rPr>
        <w:t>« Sleep complaints in middle‐aged women and men: the contribution of working conditions and work–family conflicts » (2010) 19 Journal of Sleep Research 466‑477.</w:t>
      </w:r>
    </w:p>
    <w:p w14:paraId="0CACA81B" w14:textId="77777777" w:rsidR="00B159D9" w:rsidRPr="0088662A" w:rsidRDefault="00B159D9" w:rsidP="0088662A">
      <w:pPr>
        <w:pStyle w:val="Bibliography1"/>
        <w:spacing w:before="120" w:after="120"/>
        <w:rPr>
          <w:rFonts w:ascii="Times New Roman" w:hAnsi="Times New Roman" w:cs="Times New Roman"/>
          <w:sz w:val="21"/>
          <w:szCs w:val="21"/>
          <w:lang w:val="en-CA"/>
        </w:rPr>
      </w:pPr>
      <w:r w:rsidRPr="0088662A">
        <w:rPr>
          <w:rFonts w:ascii="Times New Roman" w:hAnsi="Times New Roman" w:cs="Times New Roman"/>
          <w:sz w:val="21"/>
          <w:szCs w:val="21"/>
        </w:rPr>
        <w:t xml:space="preserve">Michel, Jesse S. et Michael B. Hargis. </w:t>
      </w:r>
      <w:r w:rsidRPr="0088662A">
        <w:rPr>
          <w:rFonts w:ascii="Times New Roman" w:hAnsi="Times New Roman" w:cs="Times New Roman"/>
          <w:sz w:val="21"/>
          <w:szCs w:val="21"/>
          <w:lang w:val="en-CA"/>
        </w:rPr>
        <w:t>« Linking mechanisms of work–family conflict and segmentation » (2008) 73:3 Journal of Vocational Behavior 509‑522.</w:t>
      </w:r>
    </w:p>
    <w:p w14:paraId="31416021" w14:textId="77777777" w:rsidR="00B159D9" w:rsidRPr="0088662A" w:rsidRDefault="00B159D9"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Prost, Magali et Moustafa Zouinar. « De l’hyper-connexion à la déconnexion : quand les entreprises tentent de réguler l’usage professionnel des e-mails » (2012) 17:1 Perspectives interdisciplinaires sur le travail et la santé.</w:t>
      </w:r>
    </w:p>
    <w:p w14:paraId="30435891" w14:textId="71414BC5" w:rsidR="00EF1407" w:rsidRPr="0088662A" w:rsidRDefault="00B159D9"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Ray, J. « Grande accélération et droit à la déconnexion » (2016) 11 Droit Social 912‑920.</w:t>
      </w:r>
    </w:p>
    <w:p w14:paraId="098A4A6A" w14:textId="223A6891" w:rsidR="006425A5" w:rsidRPr="007D4C08" w:rsidRDefault="0088662A" w:rsidP="007D4C08">
      <w:pPr>
        <w:pStyle w:val="Bibliography1"/>
        <w:spacing w:before="120" w:after="120"/>
        <w:rPr>
          <w:rFonts w:ascii="Times New Roman" w:hAnsi="Times New Roman" w:cs="Times New Roman"/>
          <w:sz w:val="21"/>
          <w:szCs w:val="21"/>
        </w:rPr>
      </w:pPr>
      <w:r w:rsidRPr="0088662A">
        <w:rPr>
          <w:rFonts w:ascii="Times New Roman" w:hAnsi="Times New Roman" w:cs="Times New Roman"/>
          <w:color w:val="1C1D1E"/>
          <w:sz w:val="21"/>
          <w:szCs w:val="21"/>
          <w:shd w:val="clear" w:color="auto" w:fill="FFFFFF"/>
          <w:lang w:val="en-CA"/>
        </w:rPr>
        <w:t>Schlachter, S. , McDowall, A. , Cropley, M. and Inceoglu, I., Voluntary Work</w:t>
      </w:r>
      <w:r w:rsidRPr="0088662A">
        <w:rPr>
          <w:rFonts w:ascii="Times New Roman" w:eastAsia="Calibri" w:hAnsi="Times New Roman" w:cs="Times New Roman"/>
          <w:color w:val="1C1D1E"/>
          <w:sz w:val="21"/>
          <w:szCs w:val="21"/>
          <w:shd w:val="clear" w:color="auto" w:fill="FFFFFF"/>
          <w:lang w:val="en-CA"/>
        </w:rPr>
        <w:t>‐</w:t>
      </w:r>
      <w:r w:rsidRPr="0088662A">
        <w:rPr>
          <w:rFonts w:ascii="Times New Roman" w:hAnsi="Times New Roman" w:cs="Times New Roman"/>
          <w:color w:val="1C1D1E"/>
          <w:sz w:val="21"/>
          <w:szCs w:val="21"/>
          <w:shd w:val="clear" w:color="auto" w:fill="FFFFFF"/>
          <w:lang w:val="en-CA"/>
        </w:rPr>
        <w:t>related Technology Use during Non</w:t>
      </w:r>
      <w:r w:rsidRPr="0088662A">
        <w:rPr>
          <w:rFonts w:ascii="Times New Roman" w:eastAsia="Calibri" w:hAnsi="Times New Roman" w:cs="Times New Roman"/>
          <w:color w:val="1C1D1E"/>
          <w:sz w:val="21"/>
          <w:szCs w:val="21"/>
          <w:shd w:val="clear" w:color="auto" w:fill="FFFFFF"/>
          <w:lang w:val="en-CA"/>
        </w:rPr>
        <w:t>‐</w:t>
      </w:r>
      <w:r w:rsidRPr="0088662A">
        <w:rPr>
          <w:rFonts w:ascii="Times New Roman" w:hAnsi="Times New Roman" w:cs="Times New Roman"/>
          <w:color w:val="1C1D1E"/>
          <w:sz w:val="21"/>
          <w:szCs w:val="21"/>
          <w:shd w:val="clear" w:color="auto" w:fill="FFFFFF"/>
          <w:lang w:val="en-CA"/>
        </w:rPr>
        <w:t xml:space="preserve">work Time: A Narrative Synthesis of Empirical Research and Research Agenda. </w:t>
      </w:r>
      <w:r w:rsidRPr="001D6F15">
        <w:rPr>
          <w:rFonts w:ascii="Times New Roman" w:hAnsi="Times New Roman" w:cs="Times New Roman"/>
          <w:color w:val="1C1D1E"/>
          <w:sz w:val="21"/>
          <w:szCs w:val="21"/>
          <w:shd w:val="clear" w:color="auto" w:fill="FFFFFF"/>
        </w:rPr>
        <w:t xml:space="preserve">(2018) </w:t>
      </w:r>
      <w:r w:rsidRPr="0088662A">
        <w:rPr>
          <w:rFonts w:ascii="Times New Roman" w:hAnsi="Times New Roman" w:cs="Times New Roman"/>
          <w:color w:val="1C1D1E"/>
          <w:sz w:val="21"/>
          <w:szCs w:val="21"/>
          <w:shd w:val="clear" w:color="auto" w:fill="FFFFFF"/>
        </w:rPr>
        <w:t>International Journal of Management Reviews, 20: 825-846.</w:t>
      </w:r>
    </w:p>
    <w:p w14:paraId="20DB7082" w14:textId="6D199587" w:rsidR="0088662A" w:rsidRPr="0088662A" w:rsidRDefault="0088662A" w:rsidP="0088662A">
      <w:pPr>
        <w:pStyle w:val="Bibliography1"/>
        <w:spacing w:before="120" w:after="120"/>
        <w:ind w:left="0" w:firstLine="0"/>
        <w:rPr>
          <w:rFonts w:ascii="Times New Roman" w:hAnsi="Times New Roman" w:cs="Times New Roman"/>
          <w:iCs/>
          <w:sz w:val="21"/>
          <w:szCs w:val="21"/>
        </w:rPr>
      </w:pPr>
      <w:r w:rsidRPr="0088662A">
        <w:rPr>
          <w:rFonts w:ascii="Times New Roman" w:hAnsi="Times New Roman" w:cs="Times New Roman"/>
          <w:iCs/>
          <w:sz w:val="21"/>
          <w:szCs w:val="21"/>
        </w:rPr>
        <w:t>AUTRES</w:t>
      </w:r>
    </w:p>
    <w:p w14:paraId="4BF4B187" w14:textId="77777777" w:rsidR="0088662A" w:rsidRPr="0088662A" w:rsidRDefault="0088662A"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 Le droit à la déconnexion: le gros bon sens » (2017) 20:2 Revue RH.</w:t>
      </w:r>
    </w:p>
    <w:p w14:paraId="054B65DB" w14:textId="77777777" w:rsidR="0088662A" w:rsidRPr="0088662A" w:rsidRDefault="0088662A" w:rsidP="0088662A">
      <w:pPr>
        <w:pStyle w:val="Bibliography1"/>
        <w:spacing w:before="120" w:after="120"/>
        <w:rPr>
          <w:rFonts w:ascii="Times New Roman" w:hAnsi="Times New Roman" w:cs="Times New Roman"/>
          <w:sz w:val="21"/>
          <w:szCs w:val="21"/>
        </w:rPr>
      </w:pPr>
      <w:r w:rsidRPr="00AD6077">
        <w:rPr>
          <w:rFonts w:ascii="Times New Roman" w:hAnsi="Times New Roman" w:cs="Times New Roman"/>
          <w:sz w:val="21"/>
          <w:szCs w:val="21"/>
        </w:rPr>
        <w:t>Commission des droits de la personne et de la jeunesse, « Après 25 ans : La Charte québécoise des droits et libertés », 2003.</w:t>
      </w:r>
    </w:p>
    <w:p w14:paraId="388F45EB" w14:textId="77777777" w:rsidR="0088662A" w:rsidRPr="0088662A" w:rsidRDefault="0088662A"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 xml:space="preserve">Dion, Mathieu. </w:t>
      </w:r>
      <w:r w:rsidRPr="0088662A">
        <w:rPr>
          <w:rFonts w:ascii="Times New Roman" w:hAnsi="Times New Roman" w:cs="Times New Roman"/>
          <w:i/>
          <w:iCs/>
          <w:sz w:val="21"/>
          <w:szCs w:val="21"/>
        </w:rPr>
        <w:t>Normes du travail: l’absence du droit à la déconnexion déçoit Québec solidaire</w:t>
      </w:r>
      <w:r w:rsidRPr="0088662A">
        <w:rPr>
          <w:rFonts w:ascii="Times New Roman" w:hAnsi="Times New Roman" w:cs="Times New Roman"/>
          <w:sz w:val="21"/>
          <w:szCs w:val="21"/>
        </w:rPr>
        <w:t>, Radio-Canada, 22 mars 2018.</w:t>
      </w:r>
    </w:p>
    <w:p w14:paraId="6B7A2D86" w14:textId="77777777" w:rsidR="0088662A" w:rsidRPr="0088662A" w:rsidRDefault="0088662A" w:rsidP="0088662A">
      <w:pPr>
        <w:pStyle w:val="Bibliography1"/>
        <w:spacing w:before="120" w:after="120"/>
        <w:rPr>
          <w:rFonts w:ascii="Times New Roman" w:hAnsi="Times New Roman" w:cs="Times New Roman"/>
          <w:sz w:val="21"/>
          <w:szCs w:val="21"/>
          <w:lang w:val="en-CA"/>
        </w:rPr>
      </w:pPr>
      <w:r w:rsidRPr="0088662A">
        <w:rPr>
          <w:rFonts w:ascii="Times New Roman" w:hAnsi="Times New Roman" w:cs="Times New Roman"/>
          <w:sz w:val="21"/>
          <w:szCs w:val="21"/>
          <w:lang w:val="en-CA"/>
        </w:rPr>
        <w:lastRenderedPageBreak/>
        <w:t xml:space="preserve">Fredette, John, Revital Marom, Kurt Steinert et Louis Witters Alcatel-Lucent. </w:t>
      </w:r>
      <w:r w:rsidRPr="0088662A">
        <w:rPr>
          <w:rFonts w:ascii="Times New Roman" w:hAnsi="Times New Roman" w:cs="Times New Roman"/>
          <w:i/>
          <w:iCs/>
          <w:sz w:val="21"/>
          <w:szCs w:val="21"/>
          <w:lang w:val="en-CA"/>
        </w:rPr>
        <w:t>The Promise and Peril of Hyperconnectivity for Organizations and Societies</w:t>
      </w:r>
      <w:r w:rsidRPr="0088662A">
        <w:rPr>
          <w:rFonts w:ascii="Times New Roman" w:hAnsi="Times New Roman" w:cs="Times New Roman"/>
          <w:sz w:val="21"/>
          <w:szCs w:val="21"/>
          <w:lang w:val="en-CA"/>
        </w:rPr>
        <w:t>, The Global Information Technology Report, Chapitre 1-10, Genève, Forum économique mondial, 2012.</w:t>
      </w:r>
    </w:p>
    <w:p w14:paraId="49314FC3" w14:textId="77777777" w:rsidR="0088662A" w:rsidRPr="0088662A" w:rsidRDefault="0088662A"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sz w:val="21"/>
          <w:szCs w:val="21"/>
        </w:rPr>
        <w:t xml:space="preserve">Higgins, Chris, Linda Duxbury et Sean Lyons. </w:t>
      </w:r>
      <w:r w:rsidRPr="0088662A">
        <w:rPr>
          <w:rFonts w:ascii="Times New Roman" w:hAnsi="Times New Roman" w:cs="Times New Roman"/>
          <w:i/>
          <w:iCs/>
          <w:sz w:val="21"/>
          <w:szCs w:val="21"/>
        </w:rPr>
        <w:t>Réduire le conflit entre le travail et la vie personnelle: Quoi faire? Quoi éviter?</w:t>
      </w:r>
      <w:r w:rsidRPr="0088662A">
        <w:rPr>
          <w:rFonts w:ascii="Times New Roman" w:hAnsi="Times New Roman" w:cs="Times New Roman"/>
          <w:sz w:val="21"/>
          <w:szCs w:val="21"/>
        </w:rPr>
        <w:t>, 2000.</w:t>
      </w:r>
    </w:p>
    <w:p w14:paraId="03CDBCD7" w14:textId="77777777" w:rsidR="0088662A" w:rsidRPr="0088662A" w:rsidRDefault="0088662A" w:rsidP="0088662A">
      <w:pPr>
        <w:pStyle w:val="Bibliography1"/>
        <w:spacing w:before="120" w:after="120"/>
        <w:rPr>
          <w:rFonts w:ascii="Times New Roman" w:hAnsi="Times New Roman" w:cs="Times New Roman"/>
          <w:sz w:val="21"/>
          <w:szCs w:val="21"/>
        </w:rPr>
      </w:pPr>
      <w:r w:rsidRPr="0088662A">
        <w:rPr>
          <w:rFonts w:ascii="Times New Roman" w:hAnsi="Times New Roman" w:cs="Times New Roman"/>
          <w:i/>
          <w:iCs/>
          <w:sz w:val="21"/>
          <w:szCs w:val="21"/>
        </w:rPr>
        <w:t>La tertiarisation de l’économie de Québec</w:t>
      </w:r>
      <w:r w:rsidRPr="0088662A">
        <w:rPr>
          <w:rFonts w:ascii="Times New Roman" w:hAnsi="Times New Roman" w:cs="Times New Roman"/>
          <w:sz w:val="21"/>
          <w:szCs w:val="21"/>
        </w:rPr>
        <w:t>, Québec, Ministère de l’Industrie, du Commerce, de la Science et de la Technologie, 1996.</w:t>
      </w:r>
    </w:p>
    <w:p w14:paraId="06D24526" w14:textId="77777777" w:rsidR="0088662A" w:rsidRPr="00C64A15" w:rsidRDefault="0088662A" w:rsidP="00AD6077">
      <w:pPr>
        <w:pStyle w:val="Bibliography1"/>
        <w:spacing w:before="120" w:after="120"/>
        <w:rPr>
          <w:rFonts w:ascii="Times New Roman" w:hAnsi="Times New Roman" w:cs="Times New Roman"/>
          <w:sz w:val="21"/>
          <w:szCs w:val="21"/>
        </w:rPr>
      </w:pPr>
      <w:r w:rsidRPr="00C64A15">
        <w:rPr>
          <w:rFonts w:ascii="Times New Roman" w:hAnsi="Times New Roman" w:cs="Times New Roman"/>
          <w:i/>
          <w:iCs/>
          <w:sz w:val="21"/>
          <w:szCs w:val="21"/>
        </w:rPr>
        <w:t>Ce que nous avons entendu : La modernisation des normes du travail fédérales</w:t>
      </w:r>
      <w:r w:rsidRPr="00C64A15">
        <w:rPr>
          <w:rFonts w:ascii="Times New Roman" w:hAnsi="Times New Roman" w:cs="Times New Roman"/>
          <w:sz w:val="21"/>
          <w:szCs w:val="21"/>
        </w:rPr>
        <w:t>, Ottawa, Emploi et Développement social Canada, 2018.</w:t>
      </w:r>
    </w:p>
    <w:p w14:paraId="4BB36964" w14:textId="77777777" w:rsidR="0088662A" w:rsidRPr="00C64A15" w:rsidRDefault="0088662A" w:rsidP="00AD6077">
      <w:pPr>
        <w:pStyle w:val="Bibliography1"/>
        <w:spacing w:before="120" w:after="120"/>
        <w:rPr>
          <w:rFonts w:ascii="Times New Roman" w:hAnsi="Times New Roman" w:cs="Times New Roman"/>
          <w:sz w:val="21"/>
          <w:szCs w:val="21"/>
        </w:rPr>
      </w:pPr>
      <w:r w:rsidRPr="00C64A15">
        <w:rPr>
          <w:rFonts w:ascii="Times New Roman" w:hAnsi="Times New Roman" w:cs="Times New Roman"/>
          <w:sz w:val="21"/>
          <w:szCs w:val="21"/>
        </w:rPr>
        <w:t>« Santé mentale au travail : prévention et moyens d’action » (21 janvier 2019), en ligne : Entreprises Québec &lt;https://www2.gouv.qc.ca/entreprises/portail/quebec/infosite?lang=fr&amp;x=3109472046&gt; (consulté le 9 février 2019).</w:t>
      </w:r>
    </w:p>
    <w:p w14:paraId="3CDF1013" w14:textId="67E04311" w:rsidR="0088662A" w:rsidRDefault="0088662A" w:rsidP="00AD6077">
      <w:pPr>
        <w:pStyle w:val="Bibliography1"/>
        <w:spacing w:before="120" w:after="120"/>
        <w:rPr>
          <w:rFonts w:ascii="Times New Roman" w:hAnsi="Times New Roman" w:cs="Times New Roman"/>
          <w:sz w:val="21"/>
          <w:szCs w:val="21"/>
        </w:rPr>
      </w:pPr>
      <w:r w:rsidRPr="00C64A15">
        <w:rPr>
          <w:rFonts w:ascii="Times New Roman" w:hAnsi="Times New Roman" w:cs="Times New Roman"/>
          <w:sz w:val="21"/>
          <w:szCs w:val="21"/>
        </w:rPr>
        <w:t>« La santé mentale en chiffres », en ligne : CIUSS de l’Est-de-l’Île-de-Montréal &lt;http://www.iusmm.ca/hopital/sante-mentale/en-chiffres.html&gt; (consulté le 9 février 2019).</w:t>
      </w:r>
    </w:p>
    <w:p w14:paraId="554ED2AA" w14:textId="54786E36" w:rsidR="0088662A" w:rsidRPr="0088662A" w:rsidRDefault="0088662A" w:rsidP="00BE2C86">
      <w:pPr>
        <w:pStyle w:val="Bibliography1"/>
        <w:spacing w:before="120" w:after="120"/>
        <w:ind w:left="709" w:hanging="709"/>
        <w:rPr>
          <w:rFonts w:ascii="Times New Roman" w:hAnsi="Times New Roman" w:cs="Times New Roman"/>
          <w:sz w:val="21"/>
          <w:szCs w:val="21"/>
        </w:rPr>
      </w:pPr>
      <w:r w:rsidRPr="00C64A15">
        <w:rPr>
          <w:rFonts w:ascii="Times New Roman" w:hAnsi="Times New Roman" w:cs="Times New Roman"/>
          <w:i/>
          <w:iCs/>
          <w:sz w:val="21"/>
          <w:szCs w:val="21"/>
        </w:rPr>
        <w:t>Plan d’action mondial pour la santé des travailleurs</w:t>
      </w:r>
      <w:r w:rsidRPr="00C64A15">
        <w:rPr>
          <w:rFonts w:ascii="Times New Roman" w:hAnsi="Times New Roman" w:cs="Times New Roman"/>
          <w:sz w:val="21"/>
          <w:szCs w:val="21"/>
        </w:rPr>
        <w:t>, LXe Assemblée mondiale de la santé, Genève, Suisse, Organisation mondiale de la santé.</w:t>
      </w:r>
    </w:p>
    <w:p w14:paraId="11B5B0E3" w14:textId="77777777" w:rsidR="00D4173A" w:rsidRDefault="00D4173A" w:rsidP="00AD6077">
      <w:pPr>
        <w:spacing w:before="120" w:after="120"/>
        <w:rPr>
          <w:lang w:val="fr-CA" w:eastAsia="fr-FR"/>
        </w:rPr>
      </w:pPr>
      <w:r>
        <w:rPr>
          <w:lang w:val="fr-CA" w:eastAsia="fr-FR"/>
        </w:rPr>
        <w:br w:type="page"/>
      </w:r>
    </w:p>
    <w:p w14:paraId="024FBDE6" w14:textId="74B0266C" w:rsidR="0055671D" w:rsidRDefault="00D42F44" w:rsidP="00EF1407">
      <w:pPr>
        <w:pStyle w:val="Titre1"/>
        <w:spacing w:after="240"/>
        <w:jc w:val="center"/>
        <w:rPr>
          <w:rFonts w:eastAsia="Times New Roman"/>
          <w:lang w:val="fr-CA" w:eastAsia="fr-FR"/>
        </w:rPr>
      </w:pPr>
      <w:bookmarkStart w:id="12" w:name="_Toc1328157"/>
      <w:r w:rsidRPr="00D42F44">
        <w:rPr>
          <w:rFonts w:eastAsia="Times New Roman"/>
          <w:lang w:val="fr-CA" w:eastAsia="fr-FR"/>
        </w:rPr>
        <w:lastRenderedPageBreak/>
        <w:t xml:space="preserve">Annexe </w:t>
      </w:r>
      <w:r w:rsidR="0055671D">
        <w:rPr>
          <w:rFonts w:eastAsia="Times New Roman"/>
          <w:lang w:val="fr-CA" w:eastAsia="fr-FR"/>
        </w:rPr>
        <w:t>A</w:t>
      </w:r>
      <w:r w:rsidR="00EF1407">
        <w:rPr>
          <w:rFonts w:eastAsia="Times New Roman"/>
          <w:lang w:val="fr-CA" w:eastAsia="fr-FR"/>
        </w:rPr>
        <w:t xml:space="preserve"> – </w:t>
      </w:r>
      <w:r w:rsidRPr="00D42F44">
        <w:rPr>
          <w:rFonts w:eastAsia="Times New Roman"/>
          <w:lang w:val="fr-CA" w:eastAsia="fr-FR"/>
        </w:rPr>
        <w:t>Statistiques du sondage en ligne d’Emploi et Développement social Canada</w:t>
      </w:r>
      <w:bookmarkEnd w:id="12"/>
    </w:p>
    <w:p w14:paraId="4A788C9D" w14:textId="77777777" w:rsidR="007C4C45" w:rsidRPr="00EF1407" w:rsidRDefault="007C4C45" w:rsidP="007C4C45">
      <w:pPr>
        <w:pStyle w:val="Titre2"/>
        <w:numPr>
          <w:ilvl w:val="0"/>
          <w:numId w:val="0"/>
        </w:numPr>
        <w:jc w:val="center"/>
        <w:rPr>
          <w:sz w:val="21"/>
          <w:u w:val="none"/>
        </w:rPr>
      </w:pPr>
      <w:bookmarkStart w:id="13" w:name="_Toc1328158"/>
      <w:r w:rsidRPr="00EF1407">
        <w:rPr>
          <w:b/>
          <w:sz w:val="21"/>
          <w:u w:val="none"/>
        </w:rPr>
        <w:t>Figure 1 </w:t>
      </w:r>
      <w:r w:rsidRPr="00EF1407">
        <w:rPr>
          <w:sz w:val="21"/>
          <w:u w:val="none"/>
        </w:rPr>
        <w:t>: Pourquoi les employés devraient-ils avoir le droit de refuser de répondre aux courriels, aux appels téléphoniques ou aux messages liés au travail en dehors des heures de travail?</w:t>
      </w:r>
      <w:bookmarkEnd w:id="13"/>
    </w:p>
    <w:p w14:paraId="24BEE589" w14:textId="77777777" w:rsidR="007C4C45" w:rsidRPr="007C4C45" w:rsidRDefault="007C4C45" w:rsidP="007C4C45">
      <w:pPr>
        <w:rPr>
          <w:lang w:val="fr-CA" w:eastAsia="fr-FR"/>
        </w:rPr>
      </w:pPr>
    </w:p>
    <w:p w14:paraId="1AEAADB9" w14:textId="5BD42584" w:rsidR="00DD51D7" w:rsidRPr="007C4C45" w:rsidRDefault="00D42F44" w:rsidP="007C4C45">
      <w:pPr>
        <w:jc w:val="center"/>
        <w:rPr>
          <w:rFonts w:ascii="Times New Roman" w:eastAsia="Times New Roman" w:hAnsi="Times New Roman" w:cs="Times New Roman"/>
          <w:noProof w:val="0"/>
          <w:lang w:val="fr-CA" w:eastAsia="fr-FR"/>
        </w:rPr>
      </w:pPr>
      <w:r w:rsidRPr="00D42F44">
        <w:rPr>
          <w:rFonts w:ascii="Arial" w:eastAsia="Times New Roman" w:hAnsi="Arial" w:cs="Arial"/>
          <w:b/>
          <w:bCs/>
          <w:noProof w:val="0"/>
          <w:color w:val="333333"/>
          <w:sz w:val="30"/>
          <w:szCs w:val="30"/>
          <w:shd w:val="clear" w:color="auto" w:fill="FFFFFF"/>
          <w:lang w:val="fr-CA" w:eastAsia="fr-FR"/>
        </w:rPr>
        <w:fldChar w:fldCharType="begin"/>
      </w:r>
      <w:r w:rsidRPr="00D42F44">
        <w:rPr>
          <w:rFonts w:ascii="Arial" w:eastAsia="Times New Roman" w:hAnsi="Arial" w:cs="Arial"/>
          <w:b/>
          <w:bCs/>
          <w:noProof w:val="0"/>
          <w:color w:val="333333"/>
          <w:sz w:val="30"/>
          <w:szCs w:val="30"/>
          <w:shd w:val="clear" w:color="auto" w:fill="FFFFFF"/>
          <w:lang w:val="fr-CA" w:eastAsia="fr-FR"/>
        </w:rPr>
        <w:instrText xml:space="preserve"> INCLUDEPICTURE "https://lh5.googleusercontent.com/_zaR42BzQ9iQK-CAjejhCWQKrb4eqJtzwbyK_uF5YufU1iRu7xEUuJd5ZnKbTP7buSWTUbu048D3GSDkksUA8fRqHe00pwYVS9d_4rWSa9Xnf2Gofz9Cxoeycto1IzBVEIj8sAzJ" \* MERGEFORMATINET </w:instrText>
      </w:r>
      <w:r w:rsidRPr="00D42F44">
        <w:rPr>
          <w:rFonts w:ascii="Arial" w:eastAsia="Times New Roman" w:hAnsi="Arial" w:cs="Arial"/>
          <w:b/>
          <w:bCs/>
          <w:noProof w:val="0"/>
          <w:color w:val="333333"/>
          <w:sz w:val="30"/>
          <w:szCs w:val="30"/>
          <w:shd w:val="clear" w:color="auto" w:fill="FFFFFF"/>
          <w:lang w:val="fr-CA" w:eastAsia="fr-FR"/>
        </w:rPr>
        <w:fldChar w:fldCharType="separate"/>
      </w:r>
      <w:r w:rsidRPr="00D42F44">
        <w:rPr>
          <w:rFonts w:ascii="Arial" w:eastAsia="Times New Roman" w:hAnsi="Arial" w:cs="Arial"/>
          <w:b/>
          <w:bCs/>
          <w:color w:val="333333"/>
          <w:sz w:val="30"/>
          <w:szCs w:val="30"/>
          <w:shd w:val="clear" w:color="auto" w:fill="FFFFFF"/>
          <w:lang w:eastAsia="fr-FR"/>
        </w:rPr>
        <w:drawing>
          <wp:inline distT="0" distB="0" distL="0" distR="0" wp14:anchorId="712B23D5" wp14:editId="1F0A84D6">
            <wp:extent cx="4599420" cy="3266440"/>
            <wp:effectExtent l="0" t="0" r="0" b="10160"/>
            <wp:docPr id="5" name="Image 5" descr="https://lh5.googleusercontent.com/_zaR42BzQ9iQK-CAjejhCWQKrb4eqJtzwbyK_uF5YufU1iRu7xEUuJd5ZnKbTP7buSWTUbu048D3GSDkksUA8fRqHe00pwYVS9d_4rWSa9Xnf2Gofz9Cxoeycto1IzBVEIj8sA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_zaR42BzQ9iQK-CAjejhCWQKrb4eqJtzwbyK_uF5YufU1iRu7xEUuJd5ZnKbTP7buSWTUbu048D3GSDkksUA8fRqHe00pwYVS9d_4rWSa9Xnf2Gofz9Cxoeycto1IzBVEIj8sAz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3920" cy="3283839"/>
                    </a:xfrm>
                    <a:prstGeom prst="rect">
                      <a:avLst/>
                    </a:prstGeom>
                    <a:noFill/>
                    <a:ln>
                      <a:noFill/>
                    </a:ln>
                  </pic:spPr>
                </pic:pic>
              </a:graphicData>
            </a:graphic>
          </wp:inline>
        </w:drawing>
      </w:r>
      <w:r w:rsidRPr="00D42F44">
        <w:rPr>
          <w:rFonts w:ascii="Arial" w:eastAsia="Times New Roman" w:hAnsi="Arial" w:cs="Arial"/>
          <w:b/>
          <w:bCs/>
          <w:noProof w:val="0"/>
          <w:color w:val="333333"/>
          <w:sz w:val="30"/>
          <w:szCs w:val="30"/>
          <w:shd w:val="clear" w:color="auto" w:fill="FFFFFF"/>
          <w:lang w:val="fr-CA" w:eastAsia="fr-FR"/>
        </w:rPr>
        <w:fldChar w:fldCharType="end"/>
      </w:r>
    </w:p>
    <w:p w14:paraId="2CD22578" w14:textId="77777777" w:rsidR="007C4C45" w:rsidRPr="00EF1407" w:rsidRDefault="007C4C45" w:rsidP="007C4C45">
      <w:pPr>
        <w:pStyle w:val="Titre2"/>
        <w:numPr>
          <w:ilvl w:val="0"/>
          <w:numId w:val="0"/>
        </w:numPr>
        <w:jc w:val="center"/>
        <w:rPr>
          <w:sz w:val="21"/>
          <w:u w:val="none"/>
        </w:rPr>
      </w:pPr>
      <w:bookmarkStart w:id="14" w:name="_Toc1328159"/>
      <w:r w:rsidRPr="00EF1407">
        <w:rPr>
          <w:b/>
          <w:sz w:val="21"/>
          <w:u w:val="none"/>
        </w:rPr>
        <w:t>Figure 2 </w:t>
      </w:r>
      <w:r w:rsidRPr="00EF1407">
        <w:rPr>
          <w:sz w:val="21"/>
          <w:u w:val="none"/>
        </w:rPr>
        <w:t>: Pourquoi les employés ne devraient-ils pas avoir le droit de refuser de répondre aux courriels, aux appels téléphoniques ou aux messages liés au travail en dehors des heures de travail?</w:t>
      </w:r>
      <w:bookmarkEnd w:id="14"/>
    </w:p>
    <w:p w14:paraId="381758DD" w14:textId="77777777" w:rsidR="00DD51D7" w:rsidRPr="00DD51D7" w:rsidRDefault="00DD51D7" w:rsidP="00DD51D7"/>
    <w:p w14:paraId="0C9F8401" w14:textId="6D7140DC" w:rsidR="00EF1407" w:rsidRPr="00D4173A" w:rsidRDefault="00EF1407" w:rsidP="007C4C45">
      <w:pPr>
        <w:spacing w:after="180"/>
        <w:jc w:val="center"/>
        <w:rPr>
          <w:rFonts w:ascii="Times New Roman" w:eastAsia="Times New Roman" w:hAnsi="Times New Roman" w:cs="Times New Roman"/>
          <w:noProof w:val="0"/>
          <w:lang w:val="fr-CA" w:eastAsia="fr-FR"/>
        </w:rPr>
      </w:pPr>
      <w:r w:rsidRPr="00D42F44">
        <w:rPr>
          <w:rFonts w:ascii="Times New Roman" w:eastAsia="Times New Roman" w:hAnsi="Times New Roman" w:cs="Times New Roman"/>
          <w:lang w:eastAsia="fr-FR"/>
        </w:rPr>
        <w:drawing>
          <wp:inline distT="0" distB="0" distL="0" distR="0" wp14:anchorId="7196D34A" wp14:editId="4234BE03">
            <wp:extent cx="5080635" cy="3001926"/>
            <wp:effectExtent l="0" t="0" r="0" b="0"/>
            <wp:docPr id="4" name="Image 4" descr="https://lh5.googleusercontent.com/YvTiP6SERm9HOJ_PhMZbB-mJqkAskoyGCDstGlR-R6PIGUjqU_KM_d3lP7nRLtMkS9exwk80_MJAcI48LVk0DMVnRCKaHis1AgNMqhL39gx3vtxRfdeef3vuEPR7kTA3Xq1oe1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YvTiP6SERm9HOJ_PhMZbB-mJqkAskoyGCDstGlR-R6PIGUjqU_KM_d3lP7nRLtMkS9exwk80_MJAcI48LVk0DMVnRCKaHis1AgNMqhL39gx3vtxRfdeef3vuEPR7kTA3Xq1oe1U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6561" cy="3011336"/>
                    </a:xfrm>
                    <a:prstGeom prst="rect">
                      <a:avLst/>
                    </a:prstGeom>
                    <a:noFill/>
                    <a:ln>
                      <a:noFill/>
                    </a:ln>
                  </pic:spPr>
                </pic:pic>
              </a:graphicData>
            </a:graphic>
          </wp:inline>
        </w:drawing>
      </w:r>
      <w:r w:rsidR="00D42F44" w:rsidRPr="00D42F44">
        <w:rPr>
          <w:rFonts w:ascii="Times New Roman" w:eastAsia="Times New Roman" w:hAnsi="Times New Roman" w:cs="Times New Roman"/>
          <w:noProof w:val="0"/>
          <w:lang w:val="fr-CA" w:eastAsia="fr-FR"/>
        </w:rPr>
        <w:fldChar w:fldCharType="begin"/>
      </w:r>
      <w:r w:rsidR="00D42F44" w:rsidRPr="00D42F44">
        <w:rPr>
          <w:rFonts w:ascii="Times New Roman" w:eastAsia="Times New Roman" w:hAnsi="Times New Roman" w:cs="Times New Roman"/>
          <w:noProof w:val="0"/>
          <w:lang w:val="fr-CA" w:eastAsia="fr-FR"/>
        </w:rPr>
        <w:instrText xml:space="preserve"> INCLUDEPICTURE "https://lh5.googleusercontent.com/YvTiP6SERm9HOJ_PhMZbB-mJqkAskoyGCDstGlR-R6PIGUjqU_KM_d3lP7nRLtMkS9exwk80_MJAcI48LVk0DMVnRCKaHis1AgNMqhL39gx3vtxRfdeef3vuEPR7kTA3Xq1oe1UU" \* MERGEFORMATINET </w:instrText>
      </w:r>
      <w:r w:rsidR="00D42F44" w:rsidRPr="00D42F44">
        <w:rPr>
          <w:rFonts w:ascii="Times New Roman" w:eastAsia="Times New Roman" w:hAnsi="Times New Roman" w:cs="Times New Roman"/>
          <w:noProof w:val="0"/>
          <w:lang w:val="fr-CA" w:eastAsia="fr-FR"/>
        </w:rPr>
        <w:fldChar w:fldCharType="end"/>
      </w:r>
    </w:p>
    <w:sectPr w:rsidR="00EF1407" w:rsidRPr="00D4173A" w:rsidSect="00D5266E">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C1F1D" w14:textId="77777777" w:rsidR="008277B1" w:rsidRDefault="008277B1" w:rsidP="001C23A6">
      <w:r>
        <w:separator/>
      </w:r>
    </w:p>
  </w:endnote>
  <w:endnote w:type="continuationSeparator" w:id="0">
    <w:p w14:paraId="2C6F6CE6" w14:textId="77777777" w:rsidR="008277B1" w:rsidRDefault="008277B1" w:rsidP="001C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B4D8" w14:textId="77777777" w:rsidR="00253129" w:rsidRPr="001C23A6" w:rsidRDefault="006361DF" w:rsidP="001C23A6">
    <w:pPr>
      <w:pStyle w:val="Pieddepage"/>
      <w:jc w:val="center"/>
      <w:rPr>
        <w:rFonts w:ascii="Times New Roman" w:hAnsi="Times New Roman" w:cs="Times New Roman"/>
        <w:sz w:val="21"/>
        <w:szCs w:val="21"/>
      </w:rPr>
    </w:pPr>
    <w:r>
      <w:rPr>
        <w:rFonts w:ascii="Times New Roman" w:hAnsi="Times New Roman" w:cs="Times New Roman"/>
        <w:sz w:val="21"/>
        <w:szCs w:val="21"/>
      </w:rPr>
      <w:t>- </w:t>
    </w:r>
    <w:r w:rsidR="00253129" w:rsidRPr="001C23A6">
      <w:rPr>
        <w:rFonts w:ascii="Times New Roman" w:hAnsi="Times New Roman" w:cs="Times New Roman"/>
        <w:sz w:val="21"/>
        <w:szCs w:val="21"/>
      </w:rPr>
      <w:fldChar w:fldCharType="begin"/>
    </w:r>
    <w:r w:rsidR="00253129" w:rsidRPr="001C23A6">
      <w:rPr>
        <w:rFonts w:ascii="Times New Roman" w:hAnsi="Times New Roman" w:cs="Times New Roman"/>
        <w:sz w:val="21"/>
        <w:szCs w:val="21"/>
      </w:rPr>
      <w:instrText xml:space="preserve"> PAGE  \* MERGEFORMAT </w:instrText>
    </w:r>
    <w:r w:rsidR="00253129" w:rsidRPr="001C23A6">
      <w:rPr>
        <w:rFonts w:ascii="Times New Roman" w:hAnsi="Times New Roman" w:cs="Times New Roman"/>
        <w:sz w:val="21"/>
        <w:szCs w:val="21"/>
      </w:rPr>
      <w:fldChar w:fldCharType="separate"/>
    </w:r>
    <w:r w:rsidR="00E35CD2">
      <w:rPr>
        <w:rFonts w:ascii="Times New Roman" w:hAnsi="Times New Roman" w:cs="Times New Roman"/>
        <w:sz w:val="21"/>
        <w:szCs w:val="21"/>
      </w:rPr>
      <w:t>1</w:t>
    </w:r>
    <w:r w:rsidR="00253129" w:rsidRPr="001C23A6">
      <w:rPr>
        <w:rFonts w:ascii="Times New Roman" w:hAnsi="Times New Roman" w:cs="Times New Roman"/>
        <w:sz w:val="21"/>
        <w:szCs w:val="21"/>
      </w:rPr>
      <w:fldChar w:fldCharType="end"/>
    </w:r>
    <w:r>
      <w:rPr>
        <w:rFonts w:ascii="Times New Roman" w:hAnsi="Times New Roman" w:cs="Times New Roman"/>
        <w:sz w:val="21"/>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3D04" w14:textId="77777777" w:rsidR="008277B1" w:rsidRDefault="008277B1" w:rsidP="001C23A6">
      <w:r>
        <w:separator/>
      </w:r>
    </w:p>
  </w:footnote>
  <w:footnote w:type="continuationSeparator" w:id="0">
    <w:p w14:paraId="0A6564D3" w14:textId="77777777" w:rsidR="008277B1" w:rsidRDefault="008277B1" w:rsidP="001C23A6">
      <w:r>
        <w:continuationSeparator/>
      </w:r>
    </w:p>
  </w:footnote>
  <w:footnote w:id="1">
    <w:p w14:paraId="71EBAB3E" w14:textId="0800AF2D" w:rsidR="005D76AF" w:rsidRPr="005D76AF" w:rsidRDefault="005D76AF">
      <w:pPr>
        <w:pStyle w:val="Notedebasdepage"/>
        <w:rPr>
          <w:lang w:val="fr-CA"/>
        </w:rPr>
      </w:pPr>
      <w:r w:rsidRPr="0032547B">
        <w:rPr>
          <w:rStyle w:val="Appelnotedebasdep"/>
        </w:rPr>
        <w:footnoteRef/>
      </w:r>
      <w:r>
        <w:t xml:space="preserve"> </w:t>
      </w:r>
      <w:r w:rsidR="00B97F0B" w:rsidRPr="00B97F0B">
        <w:rPr>
          <w:rFonts w:cs="Times New Roman"/>
        </w:rPr>
        <w:t>Boboc Anac, « Numérique et travail: quelles influences? » (2017) 34:1 Sociologies pratiques 3‑12.</w:t>
      </w:r>
    </w:p>
  </w:footnote>
  <w:footnote w:id="2">
    <w:p w14:paraId="79156B5F" w14:textId="77777777" w:rsidR="00B97F0B" w:rsidRPr="00B97F0B" w:rsidRDefault="00B97F0B">
      <w:pPr>
        <w:pStyle w:val="Notedebasdepage"/>
        <w:rPr>
          <w:lang w:val="fr-CA"/>
        </w:rPr>
      </w:pPr>
      <w:r w:rsidRPr="0032547B">
        <w:rPr>
          <w:rStyle w:val="Appelnotedebasdep"/>
        </w:rPr>
        <w:footnoteRef/>
      </w:r>
      <w:r>
        <w:t xml:space="preserve"> </w:t>
      </w:r>
      <w:r w:rsidRPr="00B97F0B">
        <w:rPr>
          <w:rFonts w:cs="Times New Roman"/>
        </w:rPr>
        <w:t>Christophe Bouton, « Vitesse, accélération, urgence: remarques à propos de la chronopolitique » (2017) 19:1 Sens-Dessous 75‑84</w:t>
      </w:r>
      <w:r w:rsidR="00032A05">
        <w:rPr>
          <w:rFonts w:cs="Times New Roman"/>
        </w:rPr>
        <w:t xml:space="preserve"> aux pages 75-76</w:t>
      </w:r>
      <w:r w:rsidRPr="00B97F0B">
        <w:rPr>
          <w:rFonts w:cs="Times New Roman"/>
        </w:rPr>
        <w:t>.</w:t>
      </w:r>
    </w:p>
  </w:footnote>
  <w:footnote w:id="3">
    <w:p w14:paraId="45C51379" w14:textId="77777777" w:rsidR="00B97F0B" w:rsidRPr="00B97F0B" w:rsidRDefault="00B97F0B">
      <w:pPr>
        <w:pStyle w:val="Notedebasdepage"/>
        <w:rPr>
          <w:lang w:val="fr-CA"/>
        </w:rPr>
      </w:pPr>
      <w:r w:rsidRPr="0032547B">
        <w:rPr>
          <w:rStyle w:val="Appelnotedebasdep"/>
        </w:rPr>
        <w:footnoteRef/>
      </w:r>
      <w:r>
        <w:t xml:space="preserve"> </w:t>
      </w:r>
      <w:r w:rsidRPr="00B97F0B">
        <w:rPr>
          <w:rFonts w:cs="Times New Roman"/>
          <w:i/>
          <w:iCs/>
        </w:rPr>
        <w:t>La tertiarisation de l’économie de Québec</w:t>
      </w:r>
      <w:r w:rsidRPr="00B97F0B">
        <w:rPr>
          <w:rFonts w:cs="Times New Roman"/>
        </w:rPr>
        <w:t>, Québec, Ministère de l’Industrie, du Commerce, de la Science et de la Technologie, 1996</w:t>
      </w:r>
      <w:r w:rsidR="00032A05">
        <w:rPr>
          <w:rFonts w:cs="Times New Roman"/>
        </w:rPr>
        <w:t xml:space="preserve"> à la p 7</w:t>
      </w:r>
      <w:r w:rsidRPr="00B97F0B">
        <w:rPr>
          <w:rFonts w:cs="Times New Roman"/>
        </w:rPr>
        <w:t>.</w:t>
      </w:r>
    </w:p>
  </w:footnote>
  <w:footnote w:id="4">
    <w:p w14:paraId="3488DB74" w14:textId="12EC07FA" w:rsidR="00175993" w:rsidRPr="00175993" w:rsidRDefault="00175993">
      <w:pPr>
        <w:pStyle w:val="Notedebasdepage"/>
        <w:rPr>
          <w:lang w:val="fr-CA"/>
        </w:rPr>
      </w:pPr>
      <w:r w:rsidRPr="0032547B">
        <w:rPr>
          <w:rStyle w:val="Appelnotedebasdep"/>
        </w:rPr>
        <w:footnoteRef/>
      </w:r>
      <w:r>
        <w:t xml:space="preserve"> </w:t>
      </w:r>
      <w:r w:rsidRPr="00175993">
        <w:rPr>
          <w:rFonts w:cs="Times New Roman"/>
          <w:i/>
          <w:iCs/>
        </w:rPr>
        <w:t>Plan d’action mondial pour la santé des travailleurs</w:t>
      </w:r>
      <w:r w:rsidRPr="00175993">
        <w:rPr>
          <w:rFonts w:cs="Times New Roman"/>
        </w:rPr>
        <w:t>, LXe Assemblée mondiale de la santé, Genève, Suisse, Organisation mondiale de la santé</w:t>
      </w:r>
      <w:r w:rsidR="00AD6077">
        <w:rPr>
          <w:rFonts w:cs="Times New Roman"/>
        </w:rPr>
        <w:t>,</w:t>
      </w:r>
      <w:r w:rsidR="0043516C">
        <w:rPr>
          <w:rFonts w:cs="Times New Roman"/>
        </w:rPr>
        <w:t xml:space="preserve"> </w:t>
      </w:r>
      <w:r w:rsidR="00AD6077">
        <w:rPr>
          <w:rFonts w:cs="Times New Roman"/>
        </w:rPr>
        <w:t>à la p </w:t>
      </w:r>
      <w:r w:rsidR="0043516C">
        <w:rPr>
          <w:rFonts w:cs="Times New Roman"/>
        </w:rPr>
        <w:t>3</w:t>
      </w:r>
      <w:r w:rsidRPr="00175993">
        <w:rPr>
          <w:rFonts w:cs="Times New Roman"/>
        </w:rPr>
        <w:t>.</w:t>
      </w:r>
    </w:p>
  </w:footnote>
  <w:footnote w:id="5">
    <w:p w14:paraId="0157CA76" w14:textId="77777777" w:rsidR="00175993" w:rsidRPr="00175993" w:rsidRDefault="00175993">
      <w:pPr>
        <w:pStyle w:val="Notedebasdepage"/>
        <w:rPr>
          <w:lang w:val="fr-CA"/>
        </w:rPr>
      </w:pPr>
      <w:r w:rsidRPr="0032547B">
        <w:rPr>
          <w:rStyle w:val="Appelnotedebasdep"/>
        </w:rPr>
        <w:footnoteRef/>
      </w:r>
      <w:r>
        <w:t xml:space="preserve"> </w:t>
      </w:r>
      <w:r w:rsidRPr="00175993">
        <w:rPr>
          <w:rFonts w:cs="Times New Roman"/>
        </w:rPr>
        <w:t>« La santé mentale en chiffres », en ligne : CIUSS de l’Est-de-l’Île-de-Montréal &lt;http://www.iusmm.ca/hopital/sante-mentale/en-chiffres.html&gt; (consulté le 9 février 2019).</w:t>
      </w:r>
    </w:p>
  </w:footnote>
  <w:footnote w:id="6">
    <w:p w14:paraId="1FFEB1C3" w14:textId="77777777" w:rsidR="00175993" w:rsidRPr="00175993" w:rsidRDefault="00175993">
      <w:pPr>
        <w:pStyle w:val="Notedebasdepage"/>
        <w:rPr>
          <w:lang w:val="fr-CA"/>
        </w:rPr>
      </w:pPr>
      <w:r w:rsidRPr="0032547B">
        <w:rPr>
          <w:rStyle w:val="Appelnotedebasdep"/>
        </w:rPr>
        <w:footnoteRef/>
      </w:r>
      <w:r>
        <w:t xml:space="preserve"> </w:t>
      </w:r>
      <w:r w:rsidRPr="00175993">
        <w:rPr>
          <w:rFonts w:cs="Times New Roman"/>
        </w:rPr>
        <w:t>« Santé mentale au travail : prévention et moyens d’action » (21 janvier 2019), en ligne : Entreprises Québec &lt;https://www2.gouv.qc.ca/entreprises/portail/quebec/infosite?lang=fr&amp;x=3109472046&gt; (consulté le 9 février 2019).</w:t>
      </w:r>
    </w:p>
  </w:footnote>
  <w:footnote w:id="7">
    <w:p w14:paraId="08F655B8" w14:textId="785CE4F1" w:rsidR="00175993" w:rsidRPr="00032A05" w:rsidRDefault="00175993">
      <w:pPr>
        <w:pStyle w:val="Notedebasdepage"/>
        <w:rPr>
          <w:lang w:val="en-CA"/>
        </w:rPr>
      </w:pPr>
      <w:r w:rsidRPr="0032547B">
        <w:rPr>
          <w:rStyle w:val="Appelnotedebasdep"/>
        </w:rPr>
        <w:footnoteRef/>
      </w:r>
      <w:r w:rsidRPr="00032A05">
        <w:rPr>
          <w:lang w:val="en-CA"/>
        </w:rPr>
        <w:t xml:space="preserve"> </w:t>
      </w:r>
      <w:r w:rsidRPr="00032A05">
        <w:rPr>
          <w:rFonts w:cs="Times New Roman"/>
          <w:lang w:val="en-CA"/>
        </w:rPr>
        <w:t xml:space="preserve">John Fredette et al, </w:t>
      </w:r>
      <w:r w:rsidRPr="00032A05">
        <w:rPr>
          <w:rFonts w:cs="Times New Roman"/>
          <w:i/>
          <w:iCs/>
          <w:lang w:val="en-CA"/>
        </w:rPr>
        <w:t>The Promise and Peril of Hyperconnectivity for Organizations and Societies</w:t>
      </w:r>
      <w:r w:rsidRPr="00032A05">
        <w:rPr>
          <w:rFonts w:cs="Times New Roman"/>
          <w:lang w:val="en-CA"/>
        </w:rPr>
        <w:t>, The Global Information Technology Report, Chapitre 1-10, Genève, Forum économique mondial, 2012</w:t>
      </w:r>
      <w:r w:rsidR="00AD6077">
        <w:rPr>
          <w:rFonts w:cs="Times New Roman"/>
          <w:lang w:val="en-CA"/>
        </w:rPr>
        <w:t>, à la p </w:t>
      </w:r>
      <w:r w:rsidR="0043516C">
        <w:rPr>
          <w:rFonts w:cs="Times New Roman"/>
          <w:lang w:val="en-CA"/>
        </w:rPr>
        <w:t>113</w:t>
      </w:r>
      <w:r w:rsidRPr="00032A05">
        <w:rPr>
          <w:rFonts w:cs="Times New Roman"/>
          <w:lang w:val="en-CA"/>
        </w:rPr>
        <w:t>.</w:t>
      </w:r>
    </w:p>
  </w:footnote>
  <w:footnote w:id="8">
    <w:p w14:paraId="6AB9DD48" w14:textId="48C8E962" w:rsidR="00175993" w:rsidRPr="00032A05" w:rsidRDefault="00175993">
      <w:pPr>
        <w:pStyle w:val="Notedebasdepage"/>
        <w:rPr>
          <w:lang w:val="en-CA"/>
        </w:rPr>
      </w:pPr>
      <w:r w:rsidRPr="0032547B">
        <w:rPr>
          <w:rStyle w:val="Appelnotedebasdep"/>
        </w:rPr>
        <w:footnoteRef/>
      </w:r>
      <w:r w:rsidRPr="00032A05">
        <w:rPr>
          <w:lang w:val="en-CA"/>
        </w:rPr>
        <w:t xml:space="preserve"> </w:t>
      </w:r>
      <w:r w:rsidRPr="00032A05">
        <w:rPr>
          <w:rFonts w:cs="Times New Roman"/>
          <w:lang w:val="en-CA"/>
        </w:rPr>
        <w:t>F T Amstad et al, « A meta-analysis of work–family conflict and various outcomes with a special emphasis on cross-domain versus matching-domain relations. » (2011) 16:2 Journal of Occupational Health Psychology 151‑169.</w:t>
      </w:r>
    </w:p>
  </w:footnote>
  <w:footnote w:id="9">
    <w:p w14:paraId="776B10BC" w14:textId="7035A5EE" w:rsidR="00175993" w:rsidRPr="00032A05" w:rsidRDefault="00175993">
      <w:pPr>
        <w:pStyle w:val="Notedebasdepage"/>
        <w:rPr>
          <w:lang w:val="en-CA"/>
        </w:rPr>
      </w:pPr>
      <w:r w:rsidRPr="0032547B">
        <w:rPr>
          <w:rStyle w:val="Appelnotedebasdep"/>
        </w:rPr>
        <w:footnoteRef/>
      </w:r>
      <w:r w:rsidRPr="00032A05">
        <w:rPr>
          <w:lang w:val="en-CA"/>
        </w:rPr>
        <w:t xml:space="preserve"> </w:t>
      </w:r>
      <w:r w:rsidRPr="00032A05">
        <w:rPr>
          <w:rFonts w:cs="Times New Roman"/>
          <w:lang w:val="en-CA"/>
        </w:rPr>
        <w:t xml:space="preserve">Amstad et al, </w:t>
      </w:r>
      <w:r w:rsidRPr="00032A05">
        <w:rPr>
          <w:rFonts w:cs="Times New Roman"/>
          <w:i/>
          <w:iCs/>
          <w:lang w:val="en-CA"/>
        </w:rPr>
        <w:t>supra</w:t>
      </w:r>
      <w:r w:rsidR="00AD6077">
        <w:rPr>
          <w:rFonts w:cs="Times New Roman"/>
          <w:iCs/>
          <w:lang w:val="en-CA"/>
        </w:rPr>
        <w:t>,</w:t>
      </w:r>
      <w:r w:rsidRPr="00032A05">
        <w:rPr>
          <w:rFonts w:cs="Times New Roman"/>
          <w:lang w:val="en-CA"/>
        </w:rPr>
        <w:t xml:space="preserve"> note 10; Jesse S Michel et Michael B Hargis, « Linking mechanisms of work–family conflict and segmentation » (2008) 73:3 Journal of Vocational Behavior 509‑522.</w:t>
      </w:r>
    </w:p>
  </w:footnote>
  <w:footnote w:id="10">
    <w:p w14:paraId="616DE69E" w14:textId="330C0C03" w:rsidR="00175993" w:rsidRPr="00032A05" w:rsidRDefault="00175993">
      <w:pPr>
        <w:pStyle w:val="Notedebasdepage"/>
        <w:rPr>
          <w:lang w:val="es-ES"/>
        </w:rPr>
      </w:pPr>
      <w:r w:rsidRPr="0032547B">
        <w:rPr>
          <w:rStyle w:val="Appelnotedebasdep"/>
        </w:rPr>
        <w:footnoteRef/>
      </w:r>
      <w:r w:rsidRPr="00032A05">
        <w:rPr>
          <w:lang w:val="es-ES"/>
        </w:rPr>
        <w:t xml:space="preserve"> </w:t>
      </w:r>
      <w:r w:rsidRPr="00032A05">
        <w:rPr>
          <w:rFonts w:cs="Times New Roman"/>
          <w:lang w:val="es-ES"/>
        </w:rPr>
        <w:t xml:space="preserve">Amstad et al, </w:t>
      </w:r>
      <w:r w:rsidRPr="00032A05">
        <w:rPr>
          <w:rFonts w:cs="Times New Roman"/>
          <w:i/>
          <w:iCs/>
          <w:lang w:val="es-ES"/>
        </w:rPr>
        <w:t>supra</w:t>
      </w:r>
      <w:r w:rsidR="00AD6077">
        <w:rPr>
          <w:rFonts w:cs="Times New Roman"/>
          <w:iCs/>
          <w:lang w:val="es-ES"/>
        </w:rPr>
        <w:t>,</w:t>
      </w:r>
      <w:r w:rsidRPr="00032A05">
        <w:rPr>
          <w:rFonts w:cs="Times New Roman"/>
          <w:lang w:val="es-ES"/>
        </w:rPr>
        <w:t xml:space="preserve"> note 10.</w:t>
      </w:r>
    </w:p>
  </w:footnote>
  <w:footnote w:id="11">
    <w:p w14:paraId="50353202" w14:textId="6A514AF7" w:rsidR="00D0230F" w:rsidRPr="00D0230F" w:rsidRDefault="00D0230F">
      <w:pPr>
        <w:pStyle w:val="Notedebasdepage"/>
        <w:rPr>
          <w:lang w:val="en-CA"/>
        </w:rPr>
      </w:pPr>
      <w:r w:rsidRPr="0032547B">
        <w:rPr>
          <w:rStyle w:val="Appelnotedebasdep"/>
        </w:rPr>
        <w:footnoteRef/>
      </w:r>
      <w:r w:rsidRPr="00D0230F">
        <w:rPr>
          <w:lang w:val="en-CA"/>
        </w:rPr>
        <w:t xml:space="preserve"> </w:t>
      </w:r>
      <w:r w:rsidRPr="00AD6077">
        <w:rPr>
          <w:rFonts w:cs="Times New Roman"/>
          <w:color w:val="1C1D1E"/>
          <w:shd w:val="clear" w:color="auto" w:fill="FFFFFF"/>
          <w:lang w:val="en-CA"/>
        </w:rPr>
        <w:t>Schlachter, S. , McDowall, A. , Cropl</w:t>
      </w:r>
      <w:r w:rsidR="00EF1407" w:rsidRPr="00AD6077">
        <w:rPr>
          <w:rFonts w:cs="Times New Roman"/>
          <w:color w:val="1C1D1E"/>
          <w:shd w:val="clear" w:color="auto" w:fill="FFFFFF"/>
          <w:lang w:val="en-CA"/>
        </w:rPr>
        <w:t xml:space="preserve">ey, M. and Inceoglu, I., </w:t>
      </w:r>
      <w:r w:rsidR="00AD6077" w:rsidRPr="00AD6077">
        <w:rPr>
          <w:rFonts w:cs="Times New Roman"/>
          <w:color w:val="1C1D1E"/>
          <w:shd w:val="clear" w:color="auto" w:fill="FFFFFF"/>
          <w:lang w:val="en-CA"/>
        </w:rPr>
        <w:t>« </w:t>
      </w:r>
      <w:r w:rsidRPr="00AD6077">
        <w:rPr>
          <w:rFonts w:cs="Times New Roman"/>
          <w:color w:val="1C1D1E"/>
          <w:shd w:val="clear" w:color="auto" w:fill="FFFFFF"/>
          <w:lang w:val="en-CA"/>
        </w:rPr>
        <w:t>Voluntary Work</w:t>
      </w:r>
      <w:r w:rsidRPr="00AD6077">
        <w:rPr>
          <w:rFonts w:ascii="Calibri" w:eastAsia="Calibri" w:hAnsi="Calibri" w:cs="Calibri"/>
          <w:color w:val="1C1D1E"/>
          <w:shd w:val="clear" w:color="auto" w:fill="FFFFFF"/>
          <w:lang w:val="en-CA"/>
        </w:rPr>
        <w:t>‐</w:t>
      </w:r>
      <w:r w:rsidRPr="00AD6077">
        <w:rPr>
          <w:rFonts w:cs="Times New Roman"/>
          <w:color w:val="1C1D1E"/>
          <w:shd w:val="clear" w:color="auto" w:fill="FFFFFF"/>
          <w:lang w:val="en-CA"/>
        </w:rPr>
        <w:t>related Technology Use during Non</w:t>
      </w:r>
      <w:r w:rsidRPr="00AD6077">
        <w:rPr>
          <w:rFonts w:ascii="Calibri" w:eastAsia="Calibri" w:hAnsi="Calibri" w:cs="Calibri"/>
          <w:color w:val="1C1D1E"/>
          <w:shd w:val="clear" w:color="auto" w:fill="FFFFFF"/>
          <w:lang w:val="en-CA"/>
        </w:rPr>
        <w:t>‐</w:t>
      </w:r>
      <w:r w:rsidRPr="00AD6077">
        <w:rPr>
          <w:rFonts w:cs="Times New Roman"/>
          <w:color w:val="1C1D1E"/>
          <w:shd w:val="clear" w:color="auto" w:fill="FFFFFF"/>
          <w:lang w:val="en-CA"/>
        </w:rPr>
        <w:t>work Time: A Narrative Synthesis of Empirical Research and Research Agenda</w:t>
      </w:r>
      <w:r w:rsidR="00AD6077" w:rsidRPr="00AD6077">
        <w:rPr>
          <w:rFonts w:cs="Times New Roman"/>
          <w:color w:val="1C1D1E"/>
          <w:shd w:val="clear" w:color="auto" w:fill="FFFFFF"/>
          <w:lang w:val="en-CA"/>
        </w:rPr>
        <w:t> » (2018) 20</w:t>
      </w:r>
      <w:r w:rsidRPr="00AD6077">
        <w:rPr>
          <w:rFonts w:cs="Times New Roman"/>
          <w:color w:val="1C1D1E"/>
          <w:shd w:val="clear" w:color="auto" w:fill="FFFFFF"/>
          <w:lang w:val="en-CA"/>
        </w:rPr>
        <w:t xml:space="preserve"> </w:t>
      </w:r>
      <w:r w:rsidRPr="001D6F15">
        <w:rPr>
          <w:rFonts w:cs="Times New Roman"/>
          <w:color w:val="1C1D1E"/>
          <w:shd w:val="clear" w:color="auto" w:fill="FFFFFF"/>
          <w:lang w:val="en-CA"/>
        </w:rPr>
        <w:t>International Journal of Management Reviews 825-84</w:t>
      </w:r>
      <w:r w:rsidR="00AD6077" w:rsidRPr="001D6F15">
        <w:rPr>
          <w:rFonts w:cs="Times New Roman"/>
          <w:color w:val="1C1D1E"/>
          <w:shd w:val="clear" w:color="auto" w:fill="FFFFFF"/>
          <w:lang w:val="en-CA"/>
        </w:rPr>
        <w:t>6.</w:t>
      </w:r>
    </w:p>
  </w:footnote>
  <w:footnote w:id="12">
    <w:p w14:paraId="23CC652C" w14:textId="5EAE2D3D" w:rsidR="00175993" w:rsidRPr="00032A05" w:rsidRDefault="00175993">
      <w:pPr>
        <w:pStyle w:val="Notedebasdepage"/>
        <w:rPr>
          <w:lang w:val="en-CA"/>
        </w:rPr>
      </w:pPr>
      <w:r w:rsidRPr="0032547B">
        <w:rPr>
          <w:rStyle w:val="Appelnotedebasdep"/>
        </w:rPr>
        <w:footnoteRef/>
      </w:r>
      <w:r w:rsidRPr="00032A05">
        <w:rPr>
          <w:lang w:val="en-CA"/>
        </w:rPr>
        <w:t xml:space="preserve"> </w:t>
      </w:r>
      <w:r w:rsidRPr="00032A05">
        <w:rPr>
          <w:rFonts w:cs="Times New Roman"/>
          <w:lang w:val="en-CA"/>
        </w:rPr>
        <w:t>T Lallukka et al, « Sleep complaints in middle‐aged women and men: the contribution of working conditions and work–family conflicts » (2010) 19 Journal of Sleep Research 466‑477.</w:t>
      </w:r>
    </w:p>
  </w:footnote>
  <w:footnote w:id="13">
    <w:p w14:paraId="735218C8" w14:textId="77777777" w:rsidR="008114F6" w:rsidRPr="008114F6" w:rsidRDefault="008114F6">
      <w:pPr>
        <w:pStyle w:val="Notedebasdepage"/>
        <w:rPr>
          <w:lang w:val="fr-CA"/>
        </w:rPr>
      </w:pPr>
      <w:r w:rsidRPr="0032547B">
        <w:rPr>
          <w:rStyle w:val="Appelnotedebasdep"/>
        </w:rPr>
        <w:footnoteRef/>
      </w:r>
      <w:r>
        <w:t xml:space="preserve"> </w:t>
      </w:r>
      <w:r w:rsidRPr="008114F6">
        <w:rPr>
          <w:rFonts w:cs="Times New Roman"/>
          <w:i/>
          <w:iCs/>
        </w:rPr>
        <w:t>Ce que nous avons entendu : La modernisation des normes du travail fédérales</w:t>
      </w:r>
      <w:r w:rsidRPr="008114F6">
        <w:rPr>
          <w:rFonts w:cs="Times New Roman"/>
        </w:rPr>
        <w:t>, Ottawa, Emploi et Développement social Canada, 2018.</w:t>
      </w:r>
    </w:p>
  </w:footnote>
  <w:footnote w:id="14">
    <w:p w14:paraId="2F8D9BA8" w14:textId="77777777" w:rsidR="008114F6" w:rsidRPr="008114F6" w:rsidRDefault="008114F6">
      <w:pPr>
        <w:pStyle w:val="Notedebasdepage"/>
        <w:rPr>
          <w:lang w:val="fr-CA"/>
        </w:rPr>
      </w:pPr>
      <w:r w:rsidRPr="0032547B">
        <w:rPr>
          <w:rStyle w:val="Appelnotedebasdep"/>
        </w:rPr>
        <w:footnoteRef/>
      </w:r>
      <w:r>
        <w:t xml:space="preserve"> </w:t>
      </w:r>
      <w:r w:rsidRPr="008114F6">
        <w:rPr>
          <w:rFonts w:cs="Times New Roman"/>
          <w:i/>
          <w:iCs/>
        </w:rPr>
        <w:t>Ibid</w:t>
      </w:r>
      <w:r w:rsidRPr="008114F6">
        <w:rPr>
          <w:rFonts w:cs="Times New Roman"/>
        </w:rPr>
        <w:t>.</w:t>
      </w:r>
    </w:p>
  </w:footnote>
  <w:footnote w:id="15">
    <w:p w14:paraId="66993E31" w14:textId="2994199E" w:rsidR="00DF2CE7" w:rsidRPr="00DF2CE7" w:rsidRDefault="00DF2CE7">
      <w:pPr>
        <w:pStyle w:val="Notedebasdepage"/>
        <w:rPr>
          <w:lang w:val="fr-CA"/>
        </w:rPr>
      </w:pPr>
      <w:r w:rsidRPr="0032547B">
        <w:rPr>
          <w:rStyle w:val="Appelnotedebasdep"/>
        </w:rPr>
        <w:footnoteRef/>
      </w:r>
      <w:r>
        <w:t xml:space="preserve"> </w:t>
      </w:r>
      <w:r w:rsidR="005A168F" w:rsidRPr="005A168F">
        <w:rPr>
          <w:rFonts w:cs="Times New Roman"/>
        </w:rPr>
        <w:t xml:space="preserve">Chris Higgins, Linda Duxbury et Sean Lyons, </w:t>
      </w:r>
      <w:r w:rsidR="005A168F" w:rsidRPr="005A168F">
        <w:rPr>
          <w:rFonts w:cs="Times New Roman"/>
          <w:i/>
          <w:iCs/>
        </w:rPr>
        <w:t>Réduire le conflit entre le travail et la vie personnelle: Quoi faire? Quoi éviter?</w:t>
      </w:r>
      <w:r w:rsidR="005A168F" w:rsidRPr="005A168F">
        <w:rPr>
          <w:rFonts w:cs="Times New Roman"/>
        </w:rPr>
        <w:t>, 2000</w:t>
      </w:r>
      <w:r w:rsidR="00AD6077">
        <w:rPr>
          <w:rFonts w:cs="Times New Roman"/>
        </w:rPr>
        <w:t>, à la p </w:t>
      </w:r>
      <w:r w:rsidR="005A168F" w:rsidRPr="005A168F">
        <w:rPr>
          <w:rFonts w:cs="Times New Roman"/>
        </w:rPr>
        <w:t>272.</w:t>
      </w:r>
    </w:p>
  </w:footnote>
  <w:footnote w:id="16">
    <w:p w14:paraId="1FF3C68E" w14:textId="2B1E1E8A" w:rsidR="005A168F" w:rsidRPr="005A168F" w:rsidRDefault="005A168F">
      <w:pPr>
        <w:pStyle w:val="Notedebasdepage"/>
        <w:rPr>
          <w:lang w:val="fr-CA"/>
        </w:rPr>
      </w:pPr>
      <w:r w:rsidRPr="0032547B">
        <w:rPr>
          <w:rStyle w:val="Appelnotedebasdep"/>
        </w:rPr>
        <w:footnoteRef/>
      </w:r>
      <w:r>
        <w:t xml:space="preserve"> </w:t>
      </w:r>
      <w:r w:rsidRPr="005A168F">
        <w:rPr>
          <w:rFonts w:cs="Times New Roman"/>
          <w:i/>
          <w:iCs/>
        </w:rPr>
        <w:t>Ibid</w:t>
      </w:r>
      <w:r w:rsidR="00AD6077">
        <w:rPr>
          <w:rFonts w:cs="Times New Roman"/>
          <w:iCs/>
        </w:rPr>
        <w:t>,</w:t>
      </w:r>
      <w:r w:rsidRPr="005A168F">
        <w:rPr>
          <w:rFonts w:cs="Times New Roman"/>
        </w:rPr>
        <w:t xml:space="preserve"> à la p 9.</w:t>
      </w:r>
    </w:p>
  </w:footnote>
  <w:footnote w:id="17">
    <w:p w14:paraId="6614E683" w14:textId="775A5E89" w:rsidR="005A168F" w:rsidRPr="005A168F" w:rsidRDefault="005A168F">
      <w:pPr>
        <w:pStyle w:val="Notedebasdepage"/>
        <w:rPr>
          <w:lang w:val="fr-CA"/>
        </w:rPr>
      </w:pPr>
      <w:r w:rsidRPr="0032547B">
        <w:rPr>
          <w:rStyle w:val="Appelnotedebasdep"/>
        </w:rPr>
        <w:footnoteRef/>
      </w:r>
      <w:r>
        <w:t xml:space="preserve"> </w:t>
      </w:r>
      <w:r w:rsidRPr="005A168F">
        <w:rPr>
          <w:rFonts w:cs="Times New Roman"/>
        </w:rPr>
        <w:t xml:space="preserve">Marie-France Revelin, « Le télétravail: mode d’emploi pour concilier travail et vie personnelle? » dans par Gilles Laflamme, </w:t>
      </w:r>
      <w:r w:rsidRPr="005A168F">
        <w:rPr>
          <w:rFonts w:cs="Times New Roman"/>
          <w:i/>
          <w:iCs/>
        </w:rPr>
        <w:t>Le travail tentaculaire: existe-t-il une vie hors du travail?</w:t>
      </w:r>
      <w:r w:rsidRPr="005A168F">
        <w:rPr>
          <w:rFonts w:cs="Times New Roman"/>
        </w:rPr>
        <w:t>, Québec, Presses de l’Université Laval, 2005</w:t>
      </w:r>
      <w:r w:rsidR="00AD6077">
        <w:rPr>
          <w:rFonts w:cs="Times New Roman"/>
        </w:rPr>
        <w:t>,</w:t>
      </w:r>
      <w:r w:rsidRPr="005A168F">
        <w:rPr>
          <w:rFonts w:cs="Times New Roman"/>
        </w:rPr>
        <w:t xml:space="preserve"> à la p 125.</w:t>
      </w:r>
    </w:p>
  </w:footnote>
  <w:footnote w:id="18">
    <w:p w14:paraId="4ADC20E2" w14:textId="3885F168" w:rsidR="005A168F" w:rsidRPr="005A168F" w:rsidRDefault="005A168F">
      <w:pPr>
        <w:pStyle w:val="Notedebasdepage"/>
        <w:rPr>
          <w:lang w:val="fr-CA"/>
        </w:rPr>
      </w:pPr>
      <w:r w:rsidRPr="0032547B">
        <w:rPr>
          <w:rStyle w:val="Appelnotedebasdep"/>
        </w:rPr>
        <w:footnoteRef/>
      </w:r>
      <w:r>
        <w:t xml:space="preserve"> </w:t>
      </w:r>
      <w:r w:rsidR="00CD14C1" w:rsidRPr="00175993">
        <w:rPr>
          <w:rFonts w:cs="Times New Roman"/>
        </w:rPr>
        <w:t>« Le droit à la déconnexion: le gros bon sens »</w:t>
      </w:r>
      <w:r w:rsidR="00CD14C1">
        <w:rPr>
          <w:rFonts w:cs="Times New Roman"/>
        </w:rPr>
        <w:t xml:space="preserve">, </w:t>
      </w:r>
      <w:r w:rsidR="00CD14C1" w:rsidRPr="00CD14C1">
        <w:rPr>
          <w:rFonts w:cs="Times New Roman"/>
          <w:i/>
        </w:rPr>
        <w:t>supra</w:t>
      </w:r>
      <w:r w:rsidR="00CD14C1" w:rsidRPr="00AD6077">
        <w:rPr>
          <w:rFonts w:cs="Times New Roman"/>
        </w:rPr>
        <w:t xml:space="preserve">, </w:t>
      </w:r>
      <w:r w:rsidRPr="00AD6077">
        <w:t>note 9.</w:t>
      </w:r>
    </w:p>
  </w:footnote>
  <w:footnote w:id="19">
    <w:p w14:paraId="79E64A27" w14:textId="506A4A0C" w:rsidR="00506DEB" w:rsidRPr="00506DEB" w:rsidRDefault="00506DEB">
      <w:pPr>
        <w:pStyle w:val="Notedebasdepage"/>
        <w:rPr>
          <w:lang w:val="fr-CA"/>
        </w:rPr>
      </w:pPr>
      <w:r w:rsidRPr="0032547B">
        <w:rPr>
          <w:rStyle w:val="Appelnotedebasdep"/>
        </w:rPr>
        <w:footnoteRef/>
      </w:r>
      <w:r>
        <w:t xml:space="preserve"> </w:t>
      </w:r>
      <w:r w:rsidRPr="00506DEB">
        <w:rPr>
          <w:rFonts w:cs="Times New Roman"/>
        </w:rPr>
        <w:t>Magali Prost et Moustafa Zouinar, « De l’hyper-connexion à la déconnexion : quand les entreprises tentent de réguler l’usage professionnel des e-mails » (2012) 17:1 Perspectives interdisciplinaires sur le travail et la santé</w:t>
      </w:r>
      <w:r w:rsidR="00AD6077">
        <w:rPr>
          <w:rFonts w:cs="Times New Roman"/>
        </w:rPr>
        <w:t xml:space="preserve">, </w:t>
      </w:r>
      <w:r w:rsidRPr="00506DEB">
        <w:rPr>
          <w:rFonts w:cs="Times New Roman"/>
        </w:rPr>
        <w:t>à la p 1.</w:t>
      </w:r>
    </w:p>
  </w:footnote>
  <w:footnote w:id="20">
    <w:p w14:paraId="12B7A206" w14:textId="1B7969BC" w:rsidR="00506DEB" w:rsidRPr="00506DEB" w:rsidRDefault="00506DEB" w:rsidP="00506DEB">
      <w:pPr>
        <w:pStyle w:val="Notedebasdepage"/>
        <w:rPr>
          <w:lang w:val="fr-CA"/>
        </w:rPr>
      </w:pPr>
      <w:r w:rsidRPr="0032547B">
        <w:rPr>
          <w:rStyle w:val="Appelnotedebasdep"/>
        </w:rPr>
        <w:footnoteRef/>
      </w:r>
      <w:r>
        <w:t xml:space="preserve"> </w:t>
      </w:r>
      <w:r w:rsidRPr="00506DEB">
        <w:rPr>
          <w:rFonts w:cs="Times New Roman"/>
          <w:i/>
          <w:iCs/>
        </w:rPr>
        <w:t>Ibid</w:t>
      </w:r>
      <w:r w:rsidR="00AD6077">
        <w:rPr>
          <w:rFonts w:cs="Times New Roman"/>
        </w:rPr>
        <w:t xml:space="preserve">, </w:t>
      </w:r>
      <w:r w:rsidRPr="00506DEB">
        <w:rPr>
          <w:rFonts w:cs="Times New Roman"/>
        </w:rPr>
        <w:t>à la p 26.</w:t>
      </w:r>
    </w:p>
  </w:footnote>
  <w:footnote w:id="21">
    <w:p w14:paraId="29CF6A5E" w14:textId="1BDA00BB" w:rsidR="00506DEB" w:rsidRPr="00506DEB" w:rsidRDefault="00506DEB">
      <w:pPr>
        <w:pStyle w:val="Notedebasdepage"/>
        <w:rPr>
          <w:lang w:val="fr-CA"/>
        </w:rPr>
      </w:pPr>
      <w:r w:rsidRPr="0032547B">
        <w:rPr>
          <w:rStyle w:val="Appelnotedebasdep"/>
        </w:rPr>
        <w:footnoteRef/>
      </w:r>
      <w:r>
        <w:t xml:space="preserve"> </w:t>
      </w:r>
      <w:r w:rsidRPr="00506DEB">
        <w:rPr>
          <w:rFonts w:cs="Times New Roman"/>
        </w:rPr>
        <w:t xml:space="preserve">Higgins, Duxbury et Lyons, </w:t>
      </w:r>
      <w:r w:rsidRPr="00506DEB">
        <w:rPr>
          <w:rFonts w:cs="Times New Roman"/>
          <w:i/>
          <w:iCs/>
        </w:rPr>
        <w:t>supra</w:t>
      </w:r>
      <w:r w:rsidRPr="00506DEB">
        <w:rPr>
          <w:rFonts w:cs="Times New Roman"/>
        </w:rPr>
        <w:t xml:space="preserve"> note 16</w:t>
      </w:r>
      <w:r w:rsidR="00AD6077">
        <w:rPr>
          <w:rFonts w:cs="Times New Roman"/>
        </w:rPr>
        <w:t>,</w:t>
      </w:r>
      <w:r w:rsidRPr="00506DEB">
        <w:rPr>
          <w:rFonts w:cs="Times New Roman"/>
        </w:rPr>
        <w:t xml:space="preserve"> à la p 271.</w:t>
      </w:r>
    </w:p>
  </w:footnote>
  <w:footnote w:id="22">
    <w:p w14:paraId="35F191ED" w14:textId="0DCF2310" w:rsidR="005A267C" w:rsidRPr="005A267C" w:rsidRDefault="005A267C">
      <w:pPr>
        <w:pStyle w:val="Notedebasdepage"/>
        <w:rPr>
          <w:lang w:val="fr-CA"/>
        </w:rPr>
      </w:pPr>
      <w:r w:rsidRPr="00B37984">
        <w:rPr>
          <w:rStyle w:val="Appelnotedebasdep"/>
        </w:rPr>
        <w:footnoteRef/>
      </w:r>
      <w:r w:rsidRPr="00B37984">
        <w:t xml:space="preserve"> </w:t>
      </w:r>
      <w:r w:rsidRPr="00B37984">
        <w:rPr>
          <w:i/>
        </w:rPr>
        <w:t>Loi El Khomri (loi travail),</w:t>
      </w:r>
      <w:r w:rsidRPr="00B37984">
        <w:t xml:space="preserve"> 2016-1088, JORF 0184, 2016, texte n° 3, 9 août 2016, art 55.</w:t>
      </w:r>
    </w:p>
  </w:footnote>
  <w:footnote w:id="23">
    <w:p w14:paraId="153055BE" w14:textId="77777777" w:rsidR="00506DEB" w:rsidRPr="00506DEB" w:rsidRDefault="00506DEB">
      <w:pPr>
        <w:pStyle w:val="Notedebasdepage"/>
        <w:rPr>
          <w:lang w:val="fr-CA"/>
        </w:rPr>
      </w:pPr>
      <w:r w:rsidRPr="0032547B">
        <w:rPr>
          <w:rStyle w:val="Appelnotedebasdep"/>
        </w:rPr>
        <w:footnoteRef/>
      </w:r>
      <w:r>
        <w:t xml:space="preserve"> </w:t>
      </w:r>
      <w:r w:rsidRPr="00506DEB">
        <w:rPr>
          <w:rFonts w:cs="Times New Roman"/>
        </w:rPr>
        <w:t xml:space="preserve">PL 1097, </w:t>
      </w:r>
      <w:r w:rsidRPr="00506DEB">
        <w:rPr>
          <w:rFonts w:cs="Times New Roman"/>
          <w:i/>
          <w:iCs/>
        </w:rPr>
        <w:t>Loi sur le droit à la déconnexion</w:t>
      </w:r>
      <w:r w:rsidRPr="00506DEB">
        <w:rPr>
          <w:rFonts w:cs="Times New Roman"/>
        </w:rPr>
        <w:t xml:space="preserve">, 1re sess, 41e lég, Québec, 22 mars 2018; Mathieu Dion, </w:t>
      </w:r>
      <w:r w:rsidRPr="00506DEB">
        <w:rPr>
          <w:rFonts w:cs="Times New Roman"/>
          <w:i/>
          <w:iCs/>
        </w:rPr>
        <w:t>Normes du travail: l’absence du droit à la déconnexion déçoit Québec solidaire</w:t>
      </w:r>
      <w:r w:rsidRPr="00506DEB">
        <w:rPr>
          <w:rFonts w:cs="Times New Roman"/>
        </w:rPr>
        <w:t>, Radio-Canada, 22 mars 2018.</w:t>
      </w:r>
    </w:p>
  </w:footnote>
  <w:footnote w:id="24">
    <w:p w14:paraId="7A561956" w14:textId="155AB897" w:rsidR="00506DEB" w:rsidRPr="00506DEB" w:rsidRDefault="00506DEB" w:rsidP="00506DEB">
      <w:pPr>
        <w:pStyle w:val="Notedebasdepage"/>
        <w:rPr>
          <w:lang w:val="fr-CA"/>
        </w:rPr>
      </w:pPr>
      <w:r w:rsidRPr="0032547B">
        <w:rPr>
          <w:rStyle w:val="Appelnotedebasdep"/>
        </w:rPr>
        <w:footnoteRef/>
      </w:r>
      <w:r>
        <w:t xml:space="preserve"> </w:t>
      </w:r>
      <w:r w:rsidR="00D43F11" w:rsidRPr="00D43F11">
        <w:rPr>
          <w:rFonts w:cs="Times New Roman"/>
          <w:i/>
          <w:iCs/>
        </w:rPr>
        <w:t>Loi sur les normes du travail</w:t>
      </w:r>
      <w:r w:rsidR="00D43F11" w:rsidRPr="00D43F11">
        <w:rPr>
          <w:rFonts w:cs="Times New Roman"/>
        </w:rPr>
        <w:t>, RLRQ, c N-1</w:t>
      </w:r>
      <w:r w:rsidR="00AD6077">
        <w:rPr>
          <w:rFonts w:cs="Times New Roman"/>
        </w:rPr>
        <w:t>.</w:t>
      </w:r>
      <w:r w:rsidR="00D43F11" w:rsidRPr="00D43F11">
        <w:rPr>
          <w:rFonts w:cs="Times New Roman"/>
        </w:rPr>
        <w:t>1 [</w:t>
      </w:r>
      <w:r w:rsidR="00D43F11" w:rsidRPr="0088662A">
        <w:rPr>
          <w:rFonts w:cs="Times New Roman"/>
          <w:i/>
        </w:rPr>
        <w:t>LNT</w:t>
      </w:r>
      <w:r w:rsidR="00D43F11" w:rsidRPr="00D43F11">
        <w:rPr>
          <w:rFonts w:cs="Times New Roman"/>
        </w:rPr>
        <w:t>].</w:t>
      </w:r>
    </w:p>
  </w:footnote>
  <w:footnote w:id="25">
    <w:p w14:paraId="5416E4BD" w14:textId="2DFD31CE" w:rsidR="00FA3CA7" w:rsidRPr="00FA3CA7" w:rsidRDefault="00FA3CA7">
      <w:pPr>
        <w:pStyle w:val="Notedebasdepage"/>
        <w:rPr>
          <w:lang w:val="fr-CA"/>
        </w:rPr>
      </w:pPr>
      <w:r w:rsidRPr="0032547B">
        <w:rPr>
          <w:rStyle w:val="Appelnotedebasdep"/>
        </w:rPr>
        <w:footnoteRef/>
      </w:r>
      <w:r>
        <w:t xml:space="preserve"> </w:t>
      </w:r>
      <w:r w:rsidRPr="00FA3CA7">
        <w:rPr>
          <w:rFonts w:cs="Times New Roman"/>
          <w:i/>
          <w:iCs/>
        </w:rPr>
        <w:t>Ibid</w:t>
      </w:r>
      <w:r w:rsidRPr="00FA3CA7">
        <w:rPr>
          <w:rFonts w:cs="Times New Roman"/>
        </w:rPr>
        <w:t>, art 57</w:t>
      </w:r>
      <w:r w:rsidR="00AD6077">
        <w:rPr>
          <w:rFonts w:cs="Times New Roman"/>
        </w:rPr>
        <w:t xml:space="preserve"> et</w:t>
      </w:r>
      <w:r w:rsidRPr="00FA3CA7">
        <w:rPr>
          <w:rFonts w:cs="Times New Roman"/>
        </w:rPr>
        <w:t xml:space="preserve"> 78.</w:t>
      </w:r>
    </w:p>
  </w:footnote>
  <w:footnote w:id="26">
    <w:p w14:paraId="0D52011A" w14:textId="0DB9F194" w:rsidR="00FA3CA7" w:rsidRPr="00FA3CA7" w:rsidRDefault="00FA3CA7">
      <w:pPr>
        <w:pStyle w:val="Notedebasdepage"/>
        <w:rPr>
          <w:lang w:val="fr-CA"/>
        </w:rPr>
      </w:pPr>
      <w:r w:rsidRPr="0032547B">
        <w:rPr>
          <w:rStyle w:val="Appelnotedebasdep"/>
        </w:rPr>
        <w:footnoteRef/>
      </w:r>
      <w:r>
        <w:t xml:space="preserve"> </w:t>
      </w:r>
      <w:r w:rsidR="00D43F11" w:rsidRPr="00D43F11">
        <w:rPr>
          <w:rFonts w:cs="Times New Roman"/>
          <w:i/>
          <w:iCs/>
        </w:rPr>
        <w:t>Charte des droits et libertés de la personne</w:t>
      </w:r>
      <w:r w:rsidR="00E35CD2">
        <w:rPr>
          <w:rFonts w:cs="Times New Roman"/>
        </w:rPr>
        <w:t>,</w:t>
      </w:r>
      <w:r w:rsidR="00D43F11" w:rsidRPr="00D43F11">
        <w:rPr>
          <w:rFonts w:cs="Times New Roman"/>
        </w:rPr>
        <w:t xml:space="preserve"> RLRQ c C-12, art 46 [</w:t>
      </w:r>
      <w:r w:rsidR="00D43F11" w:rsidRPr="00EF1407">
        <w:rPr>
          <w:rFonts w:cs="Times New Roman"/>
          <w:i/>
        </w:rPr>
        <w:t>Charte</w:t>
      </w:r>
      <w:r w:rsidR="00D43F11" w:rsidRPr="00D43F11">
        <w:rPr>
          <w:rFonts w:cs="Times New Roman"/>
        </w:rPr>
        <w:t>].</w:t>
      </w:r>
    </w:p>
  </w:footnote>
  <w:footnote w:id="27">
    <w:p w14:paraId="1E00FF24" w14:textId="77777777" w:rsidR="00D43F11" w:rsidRPr="00D43F11" w:rsidRDefault="00D43F11">
      <w:pPr>
        <w:pStyle w:val="Notedebasdepage"/>
        <w:rPr>
          <w:lang w:val="fr-CA"/>
        </w:rPr>
      </w:pPr>
      <w:r w:rsidRPr="0032547B">
        <w:rPr>
          <w:rStyle w:val="Appelnotedebasdep"/>
        </w:rPr>
        <w:footnoteRef/>
      </w:r>
      <w:r>
        <w:t xml:space="preserve"> </w:t>
      </w:r>
      <w:r w:rsidRPr="00D43F11">
        <w:rPr>
          <w:rFonts w:cs="Times New Roman"/>
          <w:i/>
          <w:iCs/>
        </w:rPr>
        <w:t>Ibid</w:t>
      </w:r>
      <w:r w:rsidRPr="00D43F11">
        <w:rPr>
          <w:rFonts w:cs="Times New Roman"/>
        </w:rPr>
        <w:t>.</w:t>
      </w:r>
    </w:p>
  </w:footnote>
  <w:footnote w:id="28">
    <w:p w14:paraId="2748C080" w14:textId="77777777" w:rsidR="00D43F11" w:rsidRPr="00D43F11" w:rsidRDefault="00D43F11">
      <w:pPr>
        <w:pStyle w:val="Notedebasdepage"/>
        <w:rPr>
          <w:lang w:val="fr-CA"/>
        </w:rPr>
      </w:pPr>
      <w:r w:rsidRPr="0032547B">
        <w:rPr>
          <w:rStyle w:val="Appelnotedebasdep"/>
        </w:rPr>
        <w:footnoteRef/>
      </w:r>
      <w:r>
        <w:t xml:space="preserve"> </w:t>
      </w:r>
      <w:r w:rsidRPr="00D43F11">
        <w:rPr>
          <w:rFonts w:cs="Times New Roman"/>
          <w:i/>
          <w:iCs/>
        </w:rPr>
        <w:t>Ibid</w:t>
      </w:r>
      <w:r w:rsidRPr="00D43F11">
        <w:rPr>
          <w:rFonts w:cs="Times New Roman"/>
        </w:rPr>
        <w:t>, art 52.</w:t>
      </w:r>
    </w:p>
  </w:footnote>
  <w:footnote w:id="29">
    <w:p w14:paraId="2D0DBFB9" w14:textId="77777777" w:rsidR="00D43F11" w:rsidRPr="00D43F11" w:rsidRDefault="00D43F11">
      <w:pPr>
        <w:pStyle w:val="Notedebasdepage"/>
        <w:rPr>
          <w:lang w:val="fr-CA"/>
        </w:rPr>
      </w:pPr>
      <w:r w:rsidRPr="0032547B">
        <w:rPr>
          <w:rStyle w:val="Appelnotedebasdep"/>
        </w:rPr>
        <w:footnoteRef/>
      </w:r>
      <w:r>
        <w:t xml:space="preserve"> </w:t>
      </w:r>
      <w:r w:rsidRPr="00D43F11">
        <w:rPr>
          <w:rFonts w:cs="Times New Roman"/>
          <w:i/>
          <w:iCs/>
        </w:rPr>
        <w:t>Code civil du Québec</w:t>
      </w:r>
      <w:r w:rsidRPr="00D43F11">
        <w:rPr>
          <w:rFonts w:cs="Times New Roman"/>
        </w:rPr>
        <w:t>, RLRQ c CCQ-1991, art 3 [</w:t>
      </w:r>
      <w:r w:rsidRPr="0088662A">
        <w:rPr>
          <w:rFonts w:cs="Times New Roman"/>
          <w:i/>
        </w:rPr>
        <w:t>C.c.Q.</w:t>
      </w:r>
      <w:r w:rsidRPr="00D43F11">
        <w:rPr>
          <w:rFonts w:cs="Times New Roman"/>
        </w:rPr>
        <w:t>].</w:t>
      </w:r>
    </w:p>
  </w:footnote>
  <w:footnote w:id="30">
    <w:p w14:paraId="0380F227" w14:textId="77777777" w:rsidR="00D43F11" w:rsidRPr="00D43F11" w:rsidRDefault="00D43F11">
      <w:pPr>
        <w:pStyle w:val="Notedebasdepage"/>
        <w:rPr>
          <w:lang w:val="fr-CA"/>
        </w:rPr>
      </w:pPr>
      <w:r w:rsidRPr="0032547B">
        <w:rPr>
          <w:rStyle w:val="Appelnotedebasdep"/>
        </w:rPr>
        <w:footnoteRef/>
      </w:r>
      <w:r>
        <w:t xml:space="preserve"> </w:t>
      </w:r>
      <w:r w:rsidRPr="00D43F11">
        <w:rPr>
          <w:rFonts w:cs="Times New Roman"/>
          <w:i/>
          <w:iCs/>
        </w:rPr>
        <w:t>Ibid</w:t>
      </w:r>
      <w:r w:rsidRPr="00D43F11">
        <w:rPr>
          <w:rFonts w:cs="Times New Roman"/>
        </w:rPr>
        <w:t>, art 2078, [notre soulignement].</w:t>
      </w:r>
    </w:p>
  </w:footnote>
  <w:footnote w:id="31">
    <w:p w14:paraId="04D682C3" w14:textId="77777777" w:rsidR="00D43F11" w:rsidRPr="00D43F11" w:rsidRDefault="00D43F11">
      <w:pPr>
        <w:pStyle w:val="Notedebasdepage"/>
        <w:rPr>
          <w:lang w:val="fr-CA"/>
        </w:rPr>
      </w:pPr>
      <w:r w:rsidRPr="0032547B">
        <w:rPr>
          <w:rStyle w:val="Appelnotedebasdep"/>
        </w:rPr>
        <w:footnoteRef/>
      </w:r>
      <w:r>
        <w:t xml:space="preserve"> </w:t>
      </w:r>
      <w:r w:rsidR="003F0347" w:rsidRPr="004D00AB">
        <w:rPr>
          <w:rFonts w:cs="Times New Roman"/>
          <w:i/>
        </w:rPr>
        <w:t>LNT</w:t>
      </w:r>
      <w:r w:rsidR="003F0347" w:rsidRPr="003F0347">
        <w:rPr>
          <w:rFonts w:cs="Times New Roman"/>
        </w:rPr>
        <w:t xml:space="preserve">, </w:t>
      </w:r>
      <w:r w:rsidR="003F0347" w:rsidRPr="003F0347">
        <w:rPr>
          <w:rFonts w:cs="Times New Roman"/>
          <w:i/>
          <w:iCs/>
        </w:rPr>
        <w:t>supra</w:t>
      </w:r>
      <w:r w:rsidR="003F0347" w:rsidRPr="003F0347">
        <w:rPr>
          <w:rFonts w:cs="Times New Roman"/>
        </w:rPr>
        <w:t xml:space="preserve"> note 24, art 81.18ss; PL 143, </w:t>
      </w:r>
      <w:r w:rsidR="003F0347" w:rsidRPr="003F0347">
        <w:rPr>
          <w:rFonts w:cs="Times New Roman"/>
          <w:i/>
          <w:iCs/>
        </w:rPr>
        <w:t>Loi modifiant la Loi sur les normes du travail et d’autres dispositions législatives</w:t>
      </w:r>
      <w:r w:rsidR="003F0347" w:rsidRPr="003F0347">
        <w:rPr>
          <w:rFonts w:cs="Times New Roman"/>
        </w:rPr>
        <w:t>, 2e sess, 36e lég, Québec, 7 novembre 2002.</w:t>
      </w:r>
    </w:p>
  </w:footnote>
  <w:footnote w:id="32">
    <w:p w14:paraId="346315FB" w14:textId="77777777" w:rsidR="003F0347" w:rsidRPr="003F0347" w:rsidRDefault="003F0347">
      <w:pPr>
        <w:pStyle w:val="Notedebasdepage"/>
        <w:rPr>
          <w:lang w:val="fr-CA"/>
        </w:rPr>
      </w:pPr>
      <w:r w:rsidRPr="0032547B">
        <w:rPr>
          <w:rStyle w:val="Appelnotedebasdep"/>
        </w:rPr>
        <w:footnoteRef/>
      </w:r>
      <w:r>
        <w:t xml:space="preserve"> </w:t>
      </w:r>
      <w:r w:rsidRPr="003F0347">
        <w:rPr>
          <w:rFonts w:cs="Times New Roman"/>
          <w:i/>
          <w:iCs/>
        </w:rPr>
        <w:t>Pacte international relatif aux droits économiques, sociaux et culturels</w:t>
      </w:r>
      <w:r w:rsidRPr="003F0347">
        <w:rPr>
          <w:rFonts w:cs="Times New Roman"/>
        </w:rPr>
        <w:t xml:space="preserve">, </w:t>
      </w:r>
      <w:r w:rsidR="004D00AB">
        <w:rPr>
          <w:rFonts w:cs="Times New Roman"/>
        </w:rPr>
        <w:t>19 décembre 1966, 993</w:t>
      </w:r>
      <w:r w:rsidRPr="003F0347">
        <w:rPr>
          <w:rFonts w:cs="Times New Roman"/>
        </w:rPr>
        <w:t xml:space="preserve"> RTNU 13, </w:t>
      </w:r>
      <w:r w:rsidR="004D00AB">
        <w:rPr>
          <w:rFonts w:cs="Times New Roman"/>
        </w:rPr>
        <w:t>(entrée en vigueur : 3 janvier 1976, accession du Canada : 19 août 1976)</w:t>
      </w:r>
      <w:r w:rsidRPr="003F0347">
        <w:rPr>
          <w:rFonts w:cs="Times New Roman"/>
        </w:rPr>
        <w:t>, art 7.</w:t>
      </w:r>
    </w:p>
  </w:footnote>
  <w:footnote w:id="33">
    <w:p w14:paraId="584F1F4A" w14:textId="08BD7939" w:rsidR="00EF1407" w:rsidRPr="002C76FE" w:rsidRDefault="00EF1407" w:rsidP="002C76FE">
      <w:pPr>
        <w:rPr>
          <w:rFonts w:ascii="Times New Roman" w:eastAsia="Times New Roman" w:hAnsi="Times New Roman" w:cs="Times New Roman"/>
          <w:noProof w:val="0"/>
          <w:sz w:val="20"/>
          <w:szCs w:val="20"/>
          <w:lang w:eastAsia="fr-FR"/>
        </w:rPr>
      </w:pPr>
      <w:r w:rsidRPr="0088662A">
        <w:rPr>
          <w:rStyle w:val="Appelnotedebasdep"/>
          <w:rFonts w:ascii="Times New Roman" w:hAnsi="Times New Roman" w:cs="Times New Roman"/>
          <w:sz w:val="21"/>
          <w:szCs w:val="21"/>
        </w:rPr>
        <w:footnoteRef/>
      </w:r>
      <w:r w:rsidRPr="002C76FE">
        <w:rPr>
          <w:rFonts w:ascii="Times New Roman" w:hAnsi="Times New Roman" w:cs="Times New Roman"/>
          <w:sz w:val="20"/>
          <w:szCs w:val="20"/>
        </w:rPr>
        <w:t xml:space="preserve"> </w:t>
      </w:r>
      <w:r w:rsidR="002C76FE" w:rsidRPr="0088662A">
        <w:rPr>
          <w:rFonts w:ascii="Times New Roman" w:hAnsi="Times New Roman" w:cs="Times New Roman"/>
          <w:sz w:val="20"/>
          <w:szCs w:val="20"/>
        </w:rPr>
        <w:t xml:space="preserve">Commission des droits de la personne et de la jeunesse, « Après 25 ans : La Charte québécoise des droits et libertés », 2003, </w:t>
      </w:r>
      <w:r w:rsidR="002C76FE" w:rsidRPr="0088662A">
        <w:rPr>
          <w:rFonts w:ascii="Times New Roman" w:eastAsia="Times New Roman" w:hAnsi="Times New Roman" w:cs="Times New Roman"/>
          <w:color w:val="000000"/>
          <w:sz w:val="20"/>
          <w:szCs w:val="20"/>
        </w:rPr>
        <w:t>à la p</w:t>
      </w:r>
      <w:r w:rsidR="00AD6077">
        <w:rPr>
          <w:rFonts w:ascii="Times New Roman" w:eastAsia="Times New Roman" w:hAnsi="Times New Roman" w:cs="Times New Roman"/>
          <w:color w:val="000000"/>
          <w:sz w:val="20"/>
          <w:szCs w:val="20"/>
        </w:rPr>
        <w:t> </w:t>
      </w:r>
      <w:r w:rsidR="002C76FE" w:rsidRPr="0088662A">
        <w:rPr>
          <w:rFonts w:ascii="Times New Roman" w:eastAsia="Times New Roman" w:hAnsi="Times New Roman" w:cs="Times New Roman"/>
          <w:color w:val="000000"/>
          <w:sz w:val="20"/>
          <w:szCs w:val="20"/>
        </w:rPr>
        <w:t>21.</w:t>
      </w:r>
      <w:r w:rsidR="002C76FE" w:rsidRPr="002C76FE">
        <w:rPr>
          <w:rFonts w:ascii="Times New Roman" w:eastAsia="Times New Roman" w:hAnsi="Times New Roman" w:cs="Times New Roman"/>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780"/>
    <w:multiLevelType w:val="multilevel"/>
    <w:tmpl w:val="21064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8649CC"/>
    <w:multiLevelType w:val="multilevel"/>
    <w:tmpl w:val="96024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1E3F88"/>
    <w:multiLevelType w:val="hybridMultilevel"/>
    <w:tmpl w:val="4CAA9C54"/>
    <w:lvl w:ilvl="0" w:tplc="7758DF76">
      <w:start w:val="1"/>
      <w:numFmt w:val="decimal"/>
      <w:pStyle w:val="Titre2"/>
      <w:lvlText w:val="%1)"/>
      <w:lvlJc w:val="left"/>
      <w:pPr>
        <w:ind w:left="1418"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D03D9B"/>
    <w:multiLevelType w:val="multilevel"/>
    <w:tmpl w:val="481A9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CA2446"/>
    <w:multiLevelType w:val="hybridMultilevel"/>
    <w:tmpl w:val="B1A0CC68"/>
    <w:lvl w:ilvl="0" w:tplc="A5D2F6D4">
      <w:start w:val="1"/>
      <w:numFmt w:val="decimal"/>
      <w:pStyle w:val="Style1"/>
      <w:lvlText w:val="[ %1 ]"/>
      <w:lvlJc w:val="left"/>
      <w:pPr>
        <w:tabs>
          <w:tab w:val="num" w:pos="851"/>
        </w:tabs>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6F673D"/>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565366DE"/>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707039"/>
    <w:multiLevelType w:val="hybridMultilevel"/>
    <w:tmpl w:val="AB6E465E"/>
    <w:lvl w:ilvl="0" w:tplc="ACE078B8">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8" w15:restartNumberingAfterBreak="0">
    <w:nsid w:val="5D47460E"/>
    <w:multiLevelType w:val="multilevel"/>
    <w:tmpl w:val="78221F9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4"/>
  </w:num>
  <w:num w:numId="2">
    <w:abstractNumId w:val="6"/>
  </w:num>
  <w:num w:numId="3">
    <w:abstractNumId w:val="2"/>
  </w:num>
  <w:num w:numId="4">
    <w:abstractNumId w:val="2"/>
    <w:lvlOverride w:ilvl="0">
      <w:startOverride w:val="1"/>
    </w:lvlOverride>
  </w:num>
  <w:num w:numId="5">
    <w:abstractNumId w:val="5"/>
  </w:num>
  <w:num w:numId="6">
    <w:abstractNumId w:val="7"/>
  </w:num>
  <w:num w:numId="7">
    <w:abstractNumId w:val="1"/>
  </w:num>
  <w:num w:numId="8">
    <w:abstractNumId w:val="0"/>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CC"/>
    <w:rsid w:val="000078F1"/>
    <w:rsid w:val="00032A05"/>
    <w:rsid w:val="000E1A37"/>
    <w:rsid w:val="000E4586"/>
    <w:rsid w:val="00122EE1"/>
    <w:rsid w:val="00163827"/>
    <w:rsid w:val="00175993"/>
    <w:rsid w:val="00181CE2"/>
    <w:rsid w:val="00183667"/>
    <w:rsid w:val="0019007B"/>
    <w:rsid w:val="001C23A6"/>
    <w:rsid w:val="001D6F15"/>
    <w:rsid w:val="002136DB"/>
    <w:rsid w:val="002509F6"/>
    <w:rsid w:val="00251725"/>
    <w:rsid w:val="0025175A"/>
    <w:rsid w:val="00253129"/>
    <w:rsid w:val="00286D5F"/>
    <w:rsid w:val="002C6198"/>
    <w:rsid w:val="002C76FE"/>
    <w:rsid w:val="0031678A"/>
    <w:rsid w:val="0032547B"/>
    <w:rsid w:val="0038686B"/>
    <w:rsid w:val="0039167F"/>
    <w:rsid w:val="003A6F21"/>
    <w:rsid w:val="003D42F2"/>
    <w:rsid w:val="003D70DE"/>
    <w:rsid w:val="003E786D"/>
    <w:rsid w:val="003F0347"/>
    <w:rsid w:val="00430930"/>
    <w:rsid w:val="0043516C"/>
    <w:rsid w:val="00462BE6"/>
    <w:rsid w:val="004D00AB"/>
    <w:rsid w:val="004D17E4"/>
    <w:rsid w:val="004F77CE"/>
    <w:rsid w:val="00506DEB"/>
    <w:rsid w:val="00534104"/>
    <w:rsid w:val="00542E75"/>
    <w:rsid w:val="0055671D"/>
    <w:rsid w:val="00582DB3"/>
    <w:rsid w:val="005A168F"/>
    <w:rsid w:val="005A267C"/>
    <w:rsid w:val="005C31F0"/>
    <w:rsid w:val="005D76AF"/>
    <w:rsid w:val="005F2935"/>
    <w:rsid w:val="005F7598"/>
    <w:rsid w:val="00610AA9"/>
    <w:rsid w:val="006335F6"/>
    <w:rsid w:val="006361DF"/>
    <w:rsid w:val="006425A5"/>
    <w:rsid w:val="006513C8"/>
    <w:rsid w:val="0066180D"/>
    <w:rsid w:val="00697342"/>
    <w:rsid w:val="006D37D1"/>
    <w:rsid w:val="0070555C"/>
    <w:rsid w:val="00710FE3"/>
    <w:rsid w:val="00720E39"/>
    <w:rsid w:val="0079168A"/>
    <w:rsid w:val="007C4C45"/>
    <w:rsid w:val="007D498C"/>
    <w:rsid w:val="007D4C08"/>
    <w:rsid w:val="007F19EF"/>
    <w:rsid w:val="008054B4"/>
    <w:rsid w:val="008114F6"/>
    <w:rsid w:val="008277B1"/>
    <w:rsid w:val="00871DBF"/>
    <w:rsid w:val="0088662A"/>
    <w:rsid w:val="008E212D"/>
    <w:rsid w:val="00951C84"/>
    <w:rsid w:val="00956E5F"/>
    <w:rsid w:val="009664EA"/>
    <w:rsid w:val="009A5769"/>
    <w:rsid w:val="009C3CCC"/>
    <w:rsid w:val="009E457F"/>
    <w:rsid w:val="009E6B03"/>
    <w:rsid w:val="00A458A7"/>
    <w:rsid w:val="00A72652"/>
    <w:rsid w:val="00AA6BD9"/>
    <w:rsid w:val="00AD448A"/>
    <w:rsid w:val="00AD6077"/>
    <w:rsid w:val="00AE2104"/>
    <w:rsid w:val="00AF1CB3"/>
    <w:rsid w:val="00B159D9"/>
    <w:rsid w:val="00B37984"/>
    <w:rsid w:val="00B909DE"/>
    <w:rsid w:val="00B97F0B"/>
    <w:rsid w:val="00BE2C86"/>
    <w:rsid w:val="00C06BC0"/>
    <w:rsid w:val="00C06F52"/>
    <w:rsid w:val="00C255BB"/>
    <w:rsid w:val="00C33E2A"/>
    <w:rsid w:val="00C41037"/>
    <w:rsid w:val="00C50C75"/>
    <w:rsid w:val="00C55408"/>
    <w:rsid w:val="00C62B95"/>
    <w:rsid w:val="00C62F5C"/>
    <w:rsid w:val="00C64A15"/>
    <w:rsid w:val="00CA563E"/>
    <w:rsid w:val="00CB7AB3"/>
    <w:rsid w:val="00CC03AD"/>
    <w:rsid w:val="00CD14C1"/>
    <w:rsid w:val="00D0230F"/>
    <w:rsid w:val="00D12F0A"/>
    <w:rsid w:val="00D4173A"/>
    <w:rsid w:val="00D42F44"/>
    <w:rsid w:val="00D43F11"/>
    <w:rsid w:val="00D515BD"/>
    <w:rsid w:val="00D5266E"/>
    <w:rsid w:val="00D651C9"/>
    <w:rsid w:val="00D7047D"/>
    <w:rsid w:val="00DD51D7"/>
    <w:rsid w:val="00DF2CE7"/>
    <w:rsid w:val="00E35CD2"/>
    <w:rsid w:val="00E35D27"/>
    <w:rsid w:val="00E77E7F"/>
    <w:rsid w:val="00E94D03"/>
    <w:rsid w:val="00EA25AF"/>
    <w:rsid w:val="00EE2216"/>
    <w:rsid w:val="00EE263F"/>
    <w:rsid w:val="00EF1407"/>
    <w:rsid w:val="00EF346B"/>
    <w:rsid w:val="00F12903"/>
    <w:rsid w:val="00F933DA"/>
    <w:rsid w:val="00FA3CA7"/>
    <w:rsid w:val="00FC29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817E"/>
  <w15:chartTrackingRefBased/>
  <w15:docId w15:val="{09896DCF-88E6-9F45-96EB-67BAB0A1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noProof/>
      <w:lang w:val="fr-FR"/>
    </w:rPr>
  </w:style>
  <w:style w:type="paragraph" w:styleId="Titre1">
    <w:name w:val="heading 1"/>
    <w:basedOn w:val="Normal"/>
    <w:next w:val="Normal"/>
    <w:link w:val="Titre1Car"/>
    <w:uiPriority w:val="9"/>
    <w:qFormat/>
    <w:rsid w:val="006513C8"/>
    <w:pPr>
      <w:keepNext/>
      <w:keepLines/>
      <w:spacing w:before="240"/>
      <w:outlineLvl w:val="0"/>
    </w:pPr>
    <w:rPr>
      <w:rFonts w:ascii="Times New Roman" w:eastAsiaTheme="majorEastAsia" w:hAnsi="Times New Roman" w:cstheme="majorBidi"/>
      <w:b/>
      <w:color w:val="000000" w:themeColor="text1"/>
      <w:szCs w:val="32"/>
    </w:rPr>
  </w:style>
  <w:style w:type="paragraph" w:styleId="Titre2">
    <w:name w:val="heading 2"/>
    <w:basedOn w:val="Normal"/>
    <w:next w:val="Normal"/>
    <w:link w:val="Titre2Car"/>
    <w:uiPriority w:val="9"/>
    <w:unhideWhenUsed/>
    <w:qFormat/>
    <w:rsid w:val="006513C8"/>
    <w:pPr>
      <w:keepNext/>
      <w:keepLines/>
      <w:numPr>
        <w:numId w:val="3"/>
      </w:numPr>
      <w:spacing w:before="40"/>
      <w:outlineLvl w:val="1"/>
    </w:pPr>
    <w:rPr>
      <w:rFonts w:ascii="Times New Roman" w:eastAsiaTheme="majorEastAsia" w:hAnsi="Times New Roman" w:cstheme="majorBidi"/>
      <w:color w:val="000000" w:themeColor="text1"/>
      <w:szCs w:val="26"/>
      <w:u w:val="single"/>
    </w:rPr>
  </w:style>
  <w:style w:type="paragraph" w:styleId="Titre5">
    <w:name w:val="heading 5"/>
    <w:basedOn w:val="Normal"/>
    <w:link w:val="Titre5Car"/>
    <w:uiPriority w:val="9"/>
    <w:qFormat/>
    <w:rsid w:val="009C3CCC"/>
    <w:pPr>
      <w:spacing w:before="100" w:beforeAutospacing="1" w:after="100" w:afterAutospacing="1"/>
      <w:outlineLvl w:val="4"/>
    </w:pPr>
    <w:rPr>
      <w:rFonts w:ascii="Times New Roman" w:eastAsia="Times New Roman" w:hAnsi="Times New Roman" w:cs="Times New Roman"/>
      <w:b/>
      <w:bCs/>
      <w:noProof w:val="0"/>
      <w:sz w:val="20"/>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3CCC"/>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9C3CCC"/>
    <w:pPr>
      <w:spacing w:before="100" w:beforeAutospacing="1" w:after="100" w:afterAutospacing="1"/>
    </w:pPr>
    <w:rPr>
      <w:rFonts w:ascii="Times New Roman" w:eastAsia="Times New Roman" w:hAnsi="Times New Roman" w:cs="Times New Roman"/>
      <w:noProof w:val="0"/>
      <w:lang w:val="fr-CA" w:eastAsia="fr-FR"/>
    </w:rPr>
  </w:style>
  <w:style w:type="character" w:styleId="Lienhypertexte">
    <w:name w:val="Hyperlink"/>
    <w:basedOn w:val="Policepardfaut"/>
    <w:uiPriority w:val="99"/>
    <w:unhideWhenUsed/>
    <w:rsid w:val="009C3CCC"/>
    <w:rPr>
      <w:color w:val="0000FF"/>
      <w:u w:val="single"/>
    </w:rPr>
  </w:style>
  <w:style w:type="character" w:customStyle="1" w:styleId="apple-tab-span">
    <w:name w:val="apple-tab-span"/>
    <w:basedOn w:val="Policepardfaut"/>
    <w:rsid w:val="009C3CCC"/>
  </w:style>
  <w:style w:type="paragraph" w:customStyle="1" w:styleId="Style1">
    <w:name w:val="Style1"/>
    <w:basedOn w:val="Normal"/>
    <w:qFormat/>
    <w:rsid w:val="006513C8"/>
    <w:pPr>
      <w:numPr>
        <w:numId w:val="1"/>
      </w:numPr>
      <w:spacing w:before="240" w:after="240" w:line="360" w:lineRule="auto"/>
    </w:pPr>
    <w:rPr>
      <w:rFonts w:ascii="Times New Roman" w:eastAsia="Times New Roman" w:hAnsi="Times New Roman" w:cs="Times New Roman"/>
      <w:noProof w:val="0"/>
      <w:color w:val="000000"/>
      <w:lang w:val="fr-CA" w:eastAsia="fr-FR"/>
    </w:rPr>
  </w:style>
  <w:style w:type="character" w:customStyle="1" w:styleId="Titre1Car">
    <w:name w:val="Titre 1 Car"/>
    <w:basedOn w:val="Policepardfaut"/>
    <w:link w:val="Titre1"/>
    <w:uiPriority w:val="9"/>
    <w:rsid w:val="000E4586"/>
    <w:rPr>
      <w:rFonts w:ascii="Times New Roman" w:eastAsiaTheme="majorEastAsia" w:hAnsi="Times New Roman" w:cstheme="majorBidi"/>
      <w:b/>
      <w:noProof/>
      <w:color w:val="000000" w:themeColor="text1"/>
      <w:szCs w:val="32"/>
      <w:lang w:val="fr-FR"/>
    </w:rPr>
  </w:style>
  <w:style w:type="character" w:customStyle="1" w:styleId="Titre2Car">
    <w:name w:val="Titre 2 Car"/>
    <w:basedOn w:val="Policepardfaut"/>
    <w:link w:val="Titre2"/>
    <w:uiPriority w:val="9"/>
    <w:rsid w:val="00C62F5C"/>
    <w:rPr>
      <w:rFonts w:ascii="Times New Roman" w:eastAsiaTheme="majorEastAsia" w:hAnsi="Times New Roman" w:cstheme="majorBidi"/>
      <w:noProof/>
      <w:color w:val="000000" w:themeColor="text1"/>
      <w:szCs w:val="26"/>
      <w:u w:val="single"/>
      <w:lang w:val="fr-FR"/>
    </w:rPr>
  </w:style>
  <w:style w:type="paragraph" w:styleId="En-tte">
    <w:name w:val="header"/>
    <w:basedOn w:val="Normal"/>
    <w:link w:val="En-tteCar"/>
    <w:uiPriority w:val="99"/>
    <w:unhideWhenUsed/>
    <w:rsid w:val="001C23A6"/>
    <w:pPr>
      <w:tabs>
        <w:tab w:val="center" w:pos="4153"/>
        <w:tab w:val="right" w:pos="8306"/>
      </w:tabs>
    </w:pPr>
  </w:style>
  <w:style w:type="character" w:customStyle="1" w:styleId="En-tteCar">
    <w:name w:val="En-tête Car"/>
    <w:basedOn w:val="Policepardfaut"/>
    <w:link w:val="En-tte"/>
    <w:uiPriority w:val="99"/>
    <w:rsid w:val="001C23A6"/>
    <w:rPr>
      <w:noProof/>
      <w:lang w:val="fr-FR"/>
    </w:rPr>
  </w:style>
  <w:style w:type="paragraph" w:styleId="Pieddepage">
    <w:name w:val="footer"/>
    <w:basedOn w:val="Normal"/>
    <w:link w:val="PieddepageCar"/>
    <w:uiPriority w:val="99"/>
    <w:unhideWhenUsed/>
    <w:rsid w:val="001C23A6"/>
    <w:pPr>
      <w:tabs>
        <w:tab w:val="center" w:pos="4153"/>
        <w:tab w:val="right" w:pos="8306"/>
      </w:tabs>
    </w:pPr>
  </w:style>
  <w:style w:type="character" w:customStyle="1" w:styleId="PieddepageCar">
    <w:name w:val="Pied de page Car"/>
    <w:basedOn w:val="Policepardfaut"/>
    <w:link w:val="Pieddepage"/>
    <w:uiPriority w:val="99"/>
    <w:rsid w:val="001C23A6"/>
    <w:rPr>
      <w:noProof/>
      <w:lang w:val="fr-FR"/>
    </w:rPr>
  </w:style>
  <w:style w:type="paragraph" w:styleId="En-ttedetabledesmatires">
    <w:name w:val="TOC Heading"/>
    <w:basedOn w:val="Titre1"/>
    <w:next w:val="Normal"/>
    <w:uiPriority w:val="39"/>
    <w:unhideWhenUsed/>
    <w:qFormat/>
    <w:rsid w:val="00F12903"/>
    <w:pPr>
      <w:spacing w:before="480" w:line="276" w:lineRule="auto"/>
      <w:jc w:val="center"/>
      <w:outlineLvl w:val="9"/>
    </w:pPr>
    <w:rPr>
      <w:bCs/>
      <w:noProof w:val="0"/>
      <w:sz w:val="21"/>
      <w:szCs w:val="28"/>
      <w:lang w:val="fr-CA" w:eastAsia="fr-FR"/>
    </w:rPr>
  </w:style>
  <w:style w:type="paragraph" w:styleId="TM1">
    <w:name w:val="toc 1"/>
    <w:basedOn w:val="Normal"/>
    <w:next w:val="Normal"/>
    <w:autoRedefine/>
    <w:uiPriority w:val="39"/>
    <w:unhideWhenUsed/>
    <w:rsid w:val="00F12903"/>
    <w:pPr>
      <w:spacing w:before="120"/>
    </w:pPr>
    <w:rPr>
      <w:rFonts w:ascii="Times New Roman" w:hAnsi="Times New Roman" w:cstheme="minorHAnsi"/>
      <w:b/>
      <w:bCs/>
      <w:iCs/>
      <w:sz w:val="21"/>
    </w:rPr>
  </w:style>
  <w:style w:type="paragraph" w:styleId="TM2">
    <w:name w:val="toc 2"/>
    <w:basedOn w:val="Normal"/>
    <w:next w:val="Normal"/>
    <w:autoRedefine/>
    <w:uiPriority w:val="39"/>
    <w:unhideWhenUsed/>
    <w:rsid w:val="00F12903"/>
    <w:pPr>
      <w:spacing w:before="120"/>
      <w:ind w:left="240"/>
    </w:pPr>
    <w:rPr>
      <w:rFonts w:ascii="Times New Roman" w:hAnsi="Times New Roman" w:cstheme="minorHAnsi"/>
      <w:bCs/>
      <w:i/>
      <w:sz w:val="21"/>
      <w:szCs w:val="22"/>
    </w:rPr>
  </w:style>
  <w:style w:type="paragraph" w:styleId="TM3">
    <w:name w:val="toc 3"/>
    <w:basedOn w:val="Normal"/>
    <w:next w:val="Normal"/>
    <w:autoRedefine/>
    <w:uiPriority w:val="39"/>
    <w:semiHidden/>
    <w:unhideWhenUsed/>
    <w:rsid w:val="00697342"/>
    <w:pPr>
      <w:ind w:left="480"/>
    </w:pPr>
    <w:rPr>
      <w:rFonts w:cstheme="minorHAnsi"/>
      <w:sz w:val="20"/>
      <w:szCs w:val="20"/>
    </w:rPr>
  </w:style>
  <w:style w:type="paragraph" w:styleId="TM4">
    <w:name w:val="toc 4"/>
    <w:basedOn w:val="Normal"/>
    <w:next w:val="Normal"/>
    <w:autoRedefine/>
    <w:uiPriority w:val="39"/>
    <w:semiHidden/>
    <w:unhideWhenUsed/>
    <w:rsid w:val="00697342"/>
    <w:pPr>
      <w:ind w:left="720"/>
    </w:pPr>
    <w:rPr>
      <w:rFonts w:cstheme="minorHAnsi"/>
      <w:sz w:val="20"/>
      <w:szCs w:val="20"/>
    </w:rPr>
  </w:style>
  <w:style w:type="paragraph" w:styleId="TM5">
    <w:name w:val="toc 5"/>
    <w:basedOn w:val="Normal"/>
    <w:next w:val="Normal"/>
    <w:autoRedefine/>
    <w:uiPriority w:val="39"/>
    <w:semiHidden/>
    <w:unhideWhenUsed/>
    <w:rsid w:val="00697342"/>
    <w:pPr>
      <w:ind w:left="960"/>
    </w:pPr>
    <w:rPr>
      <w:rFonts w:cstheme="minorHAnsi"/>
      <w:sz w:val="20"/>
      <w:szCs w:val="20"/>
    </w:rPr>
  </w:style>
  <w:style w:type="paragraph" w:styleId="TM6">
    <w:name w:val="toc 6"/>
    <w:basedOn w:val="Normal"/>
    <w:next w:val="Normal"/>
    <w:autoRedefine/>
    <w:uiPriority w:val="39"/>
    <w:semiHidden/>
    <w:unhideWhenUsed/>
    <w:rsid w:val="00697342"/>
    <w:pPr>
      <w:ind w:left="1200"/>
    </w:pPr>
    <w:rPr>
      <w:rFonts w:cstheme="minorHAnsi"/>
      <w:sz w:val="20"/>
      <w:szCs w:val="20"/>
    </w:rPr>
  </w:style>
  <w:style w:type="paragraph" w:styleId="TM7">
    <w:name w:val="toc 7"/>
    <w:basedOn w:val="Normal"/>
    <w:next w:val="Normal"/>
    <w:autoRedefine/>
    <w:uiPriority w:val="39"/>
    <w:semiHidden/>
    <w:unhideWhenUsed/>
    <w:rsid w:val="00697342"/>
    <w:pPr>
      <w:ind w:left="1440"/>
    </w:pPr>
    <w:rPr>
      <w:rFonts w:cstheme="minorHAnsi"/>
      <w:sz w:val="20"/>
      <w:szCs w:val="20"/>
    </w:rPr>
  </w:style>
  <w:style w:type="paragraph" w:styleId="TM8">
    <w:name w:val="toc 8"/>
    <w:basedOn w:val="Normal"/>
    <w:next w:val="Normal"/>
    <w:autoRedefine/>
    <w:uiPriority w:val="39"/>
    <w:semiHidden/>
    <w:unhideWhenUsed/>
    <w:rsid w:val="00697342"/>
    <w:pPr>
      <w:ind w:left="1680"/>
    </w:pPr>
    <w:rPr>
      <w:rFonts w:cstheme="minorHAnsi"/>
      <w:sz w:val="20"/>
      <w:szCs w:val="20"/>
    </w:rPr>
  </w:style>
  <w:style w:type="paragraph" w:styleId="TM9">
    <w:name w:val="toc 9"/>
    <w:basedOn w:val="Normal"/>
    <w:next w:val="Normal"/>
    <w:autoRedefine/>
    <w:uiPriority w:val="39"/>
    <w:semiHidden/>
    <w:unhideWhenUsed/>
    <w:rsid w:val="00697342"/>
    <w:pPr>
      <w:ind w:left="1920"/>
    </w:pPr>
    <w:rPr>
      <w:rFonts w:cstheme="minorHAnsi"/>
      <w:sz w:val="20"/>
      <w:szCs w:val="20"/>
    </w:rPr>
  </w:style>
  <w:style w:type="paragraph" w:styleId="Notedebasdepage">
    <w:name w:val="footnote text"/>
    <w:basedOn w:val="Normal"/>
    <w:link w:val="NotedebasdepageCar"/>
    <w:uiPriority w:val="99"/>
    <w:unhideWhenUsed/>
    <w:rsid w:val="00B97F0B"/>
    <w:rPr>
      <w:rFonts w:ascii="Times New Roman" w:hAnsi="Times New Roman"/>
      <w:sz w:val="20"/>
      <w:szCs w:val="20"/>
    </w:rPr>
  </w:style>
  <w:style w:type="character" w:customStyle="1" w:styleId="NotedebasdepageCar">
    <w:name w:val="Note de bas de page Car"/>
    <w:basedOn w:val="Policepardfaut"/>
    <w:link w:val="Notedebasdepage"/>
    <w:uiPriority w:val="99"/>
    <w:rsid w:val="00B97F0B"/>
    <w:rPr>
      <w:rFonts w:ascii="Times New Roman" w:hAnsi="Times New Roman"/>
      <w:noProof/>
      <w:sz w:val="20"/>
      <w:szCs w:val="20"/>
      <w:lang w:val="fr-FR"/>
    </w:rPr>
  </w:style>
  <w:style w:type="character" w:styleId="Appelnotedebasdep">
    <w:name w:val="footnote reference"/>
    <w:basedOn w:val="Policepardfaut"/>
    <w:uiPriority w:val="99"/>
    <w:unhideWhenUsed/>
    <w:rsid w:val="000078F1"/>
    <w:rPr>
      <w:vertAlign w:val="superscript"/>
    </w:rPr>
  </w:style>
  <w:style w:type="paragraph" w:customStyle="1" w:styleId="Bibliography1">
    <w:name w:val="Bibliography1"/>
    <w:basedOn w:val="Normal"/>
    <w:link w:val="BibliographyCar"/>
    <w:rsid w:val="00B159D9"/>
    <w:pPr>
      <w:ind w:left="720" w:hanging="720"/>
    </w:pPr>
    <w:rPr>
      <w:lang w:val="fr-CA" w:eastAsia="fr-FR"/>
    </w:rPr>
  </w:style>
  <w:style w:type="character" w:customStyle="1" w:styleId="BibliographyCar">
    <w:name w:val="Bibliography Car"/>
    <w:basedOn w:val="Policepardfaut"/>
    <w:link w:val="Bibliography1"/>
    <w:rsid w:val="00B159D9"/>
    <w:rPr>
      <w:noProof/>
      <w:lang w:eastAsia="fr-FR"/>
    </w:rPr>
  </w:style>
  <w:style w:type="character" w:styleId="Lienhypertextesuivivisit">
    <w:name w:val="FollowedHyperlink"/>
    <w:basedOn w:val="Policepardfaut"/>
    <w:uiPriority w:val="99"/>
    <w:semiHidden/>
    <w:unhideWhenUsed/>
    <w:rsid w:val="002C76FE"/>
    <w:rPr>
      <w:color w:val="954F72" w:themeColor="followedHyperlink"/>
      <w:u w:val="single"/>
    </w:rPr>
  </w:style>
  <w:style w:type="character" w:styleId="Appeldenotedefin">
    <w:name w:val="endnote reference"/>
    <w:basedOn w:val="Policepardfaut"/>
    <w:uiPriority w:val="99"/>
    <w:semiHidden/>
    <w:unhideWhenUsed/>
    <w:rsid w:val="0032547B"/>
    <w:rPr>
      <w:vertAlign w:val="superscript"/>
    </w:rPr>
  </w:style>
  <w:style w:type="character" w:styleId="Accentuation">
    <w:name w:val="Emphasis"/>
    <w:basedOn w:val="Policepardfaut"/>
    <w:uiPriority w:val="20"/>
    <w:qFormat/>
    <w:rsid w:val="001D6F15"/>
    <w:rPr>
      <w:i/>
      <w:iCs/>
    </w:rPr>
  </w:style>
  <w:style w:type="paragraph" w:styleId="Paragraphedeliste">
    <w:name w:val="List Paragraph"/>
    <w:basedOn w:val="Normal"/>
    <w:uiPriority w:val="34"/>
    <w:qFormat/>
    <w:rsid w:val="00C33E2A"/>
    <w:pPr>
      <w:ind w:left="720"/>
      <w:contextualSpacing/>
    </w:pPr>
  </w:style>
  <w:style w:type="character" w:styleId="lev">
    <w:name w:val="Strong"/>
    <w:basedOn w:val="Policepardfaut"/>
    <w:uiPriority w:val="22"/>
    <w:qFormat/>
    <w:rsid w:val="00C33E2A"/>
    <w:rPr>
      <w:b/>
      <w:bCs/>
    </w:rPr>
  </w:style>
  <w:style w:type="paragraph" w:styleId="Textedebulles">
    <w:name w:val="Balloon Text"/>
    <w:basedOn w:val="Normal"/>
    <w:link w:val="TextedebullesCar"/>
    <w:uiPriority w:val="99"/>
    <w:semiHidden/>
    <w:unhideWhenUsed/>
    <w:rsid w:val="00A458A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458A7"/>
    <w:rPr>
      <w:rFonts w:ascii="Times New Roman" w:hAnsi="Times New Roman" w:cs="Times New Roman"/>
      <w:noProof/>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31693">
      <w:bodyDiv w:val="1"/>
      <w:marLeft w:val="0"/>
      <w:marRight w:val="0"/>
      <w:marTop w:val="0"/>
      <w:marBottom w:val="0"/>
      <w:divBdr>
        <w:top w:val="none" w:sz="0" w:space="0" w:color="auto"/>
        <w:left w:val="none" w:sz="0" w:space="0" w:color="auto"/>
        <w:bottom w:val="none" w:sz="0" w:space="0" w:color="auto"/>
        <w:right w:val="none" w:sz="0" w:space="0" w:color="auto"/>
      </w:divBdr>
    </w:div>
    <w:div w:id="1210997905">
      <w:bodyDiv w:val="1"/>
      <w:marLeft w:val="0"/>
      <w:marRight w:val="0"/>
      <w:marTop w:val="0"/>
      <w:marBottom w:val="0"/>
      <w:divBdr>
        <w:top w:val="none" w:sz="0" w:space="0" w:color="auto"/>
        <w:left w:val="none" w:sz="0" w:space="0" w:color="auto"/>
        <w:bottom w:val="none" w:sz="0" w:space="0" w:color="auto"/>
        <w:right w:val="none" w:sz="0" w:space="0" w:color="auto"/>
      </w:divBdr>
    </w:div>
    <w:div w:id="1293906093">
      <w:bodyDiv w:val="1"/>
      <w:marLeft w:val="0"/>
      <w:marRight w:val="0"/>
      <w:marTop w:val="0"/>
      <w:marBottom w:val="0"/>
      <w:divBdr>
        <w:top w:val="none" w:sz="0" w:space="0" w:color="auto"/>
        <w:left w:val="none" w:sz="0" w:space="0" w:color="auto"/>
        <w:bottom w:val="none" w:sz="0" w:space="0" w:color="auto"/>
        <w:right w:val="none" w:sz="0" w:space="0" w:color="auto"/>
      </w:divBdr>
    </w:div>
    <w:div w:id="1649437680">
      <w:bodyDiv w:val="1"/>
      <w:marLeft w:val="0"/>
      <w:marRight w:val="0"/>
      <w:marTop w:val="0"/>
      <w:marBottom w:val="0"/>
      <w:divBdr>
        <w:top w:val="none" w:sz="0" w:space="0" w:color="auto"/>
        <w:left w:val="none" w:sz="0" w:space="0" w:color="auto"/>
        <w:bottom w:val="none" w:sz="0" w:space="0" w:color="auto"/>
        <w:right w:val="none" w:sz="0" w:space="0" w:color="auto"/>
      </w:divBdr>
    </w:div>
    <w:div w:id="20261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409A-DFA9-0F4F-95BE-BFAB57F1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3517</Words>
  <Characters>19348</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Gratton</dc:creator>
  <cp:keywords/>
  <dc:description/>
  <cp:lastModifiedBy>Etienne Gratton</cp:lastModifiedBy>
  <cp:revision>4</cp:revision>
  <dcterms:created xsi:type="dcterms:W3CDTF">2019-02-18T01:35:00Z</dcterms:created>
  <dcterms:modified xsi:type="dcterms:W3CDTF">2019-02-18T01:36:00Z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id="KlpnliLe"/&gt;&lt;style id="http://www.zotero.org/styles/mcgill-fr" hasBibliography="1" bibliographyStyleHasBeenSet="1"/&gt;&lt;prefs&gt;&lt;pref name="fieldType" value="Field"/&gt;&lt;pref name="noteType" value="1"/&gt;&lt;/</vt:lpwstr>
  </property>
  <property fmtid="{D5CDD505-2E9C-101B-9397-08002B2CF9AE}" pid="3" name="ZOTERO_PREF_2">
    <vt:lpwstr>prefs&gt;&lt;/data&gt;</vt:lpwstr>
  </property>
</Properties>
</file>