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7E" w:rsidRDefault="00DF147E" w:rsidP="00DF147E">
      <w:pPr>
        <w:jc w:val="center"/>
      </w:pPr>
      <w:bookmarkStart w:id="0" w:name="_GoBack"/>
      <w:bookmarkEnd w:id="0"/>
      <w:r>
        <w:t>Mémoire de André Huot - 20 janvier 2019 - Château-Richer</w:t>
      </w:r>
    </w:p>
    <w:p w:rsidR="004B0774" w:rsidRDefault="00362B5D">
      <w:r>
        <w:t>Est-ce une constitution universelle ou une m</w:t>
      </w:r>
      <w:r w:rsidR="004D0D01">
        <w:t>éthodologie pouvant permettre l’expression du plus grand nombre dans la rédaction de la constitution</w:t>
      </w:r>
      <w:r>
        <w:t xml:space="preserve">? Je vous laisse en juger. Je propose cette base d’organisation sociale comme constitution en tant que structure </w:t>
      </w:r>
      <w:r w:rsidR="00701E44">
        <w:t>au-dessus des lois</w:t>
      </w:r>
      <w:r>
        <w:t xml:space="preserve"> laissant une grande liberté par la suite pour l’adoption d’éléments constitutif</w:t>
      </w:r>
      <w:r w:rsidR="00780909">
        <w:t xml:space="preserve">s </w:t>
      </w:r>
      <w:r w:rsidR="00DF147E">
        <w:t xml:space="preserve">et </w:t>
      </w:r>
      <w:r>
        <w:t xml:space="preserve">de </w:t>
      </w:r>
      <w:r w:rsidR="00303704">
        <w:t>lois</w:t>
      </w:r>
      <w:r>
        <w:t xml:space="preserve"> assurant le bon fonctionnement social</w:t>
      </w:r>
      <w:r w:rsidR="00780909">
        <w:t>.</w:t>
      </w:r>
    </w:p>
    <w:p w:rsidR="00DF147E" w:rsidRDefault="00DF147E">
      <w:r>
        <w:t xml:space="preserve">Afin d’évaluer adéquatement la pertinence de cette approche et vérifier si elle peut donner une juste part décisionnelle aux citoyens non seulement au moment d’écrire une constitution citoyenne mais </w:t>
      </w:r>
      <w:r w:rsidR="00911455">
        <w:t xml:space="preserve">aussi </w:t>
      </w:r>
      <w:r>
        <w:t>en tout temps</w:t>
      </w:r>
      <w:r w:rsidR="00911455">
        <w:t>, je propose que les constituants soient invités à voter sur chacun des articles en complétant le tableau suivant et en commentant au besoin.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"/>
        <w:gridCol w:w="7913"/>
        <w:gridCol w:w="648"/>
        <w:gridCol w:w="834"/>
        <w:gridCol w:w="733"/>
      </w:tblGrid>
      <w:tr w:rsidR="004C66EC" w:rsidRPr="00E90D03" w:rsidTr="00E90D03">
        <w:tc>
          <w:tcPr>
            <w:tcW w:w="0" w:type="auto"/>
          </w:tcPr>
          <w:p w:rsidR="004C66EC" w:rsidRPr="00E90D03" w:rsidRDefault="004C66EC">
            <w:pPr>
              <w:rPr>
                <w:b/>
              </w:rPr>
            </w:pPr>
            <w:r w:rsidRPr="00E90D03">
              <w:rPr>
                <w:b/>
              </w:rPr>
              <w:t>#</w:t>
            </w:r>
          </w:p>
        </w:tc>
        <w:tc>
          <w:tcPr>
            <w:tcW w:w="0" w:type="auto"/>
          </w:tcPr>
          <w:p w:rsidR="004C66EC" w:rsidRPr="00E90D03" w:rsidRDefault="004C66EC">
            <w:pPr>
              <w:rPr>
                <w:b/>
              </w:rPr>
            </w:pPr>
            <w:r w:rsidRPr="00E90D03">
              <w:rPr>
                <w:b/>
              </w:rPr>
              <w:t>Article</w:t>
            </w:r>
            <w:r w:rsidR="00A336F8">
              <w:rPr>
                <w:b/>
              </w:rPr>
              <w:t>s</w:t>
            </w:r>
            <w:r w:rsidR="00C324D2">
              <w:rPr>
                <w:b/>
              </w:rPr>
              <w:t xml:space="preserve"> (seul le masculin est utilisé pour alléger le texte)</w:t>
            </w:r>
          </w:p>
        </w:tc>
        <w:tc>
          <w:tcPr>
            <w:tcW w:w="0" w:type="auto"/>
          </w:tcPr>
          <w:p w:rsidR="004C66EC" w:rsidRPr="00E90D03" w:rsidRDefault="004C66EC">
            <w:pPr>
              <w:rPr>
                <w:b/>
              </w:rPr>
            </w:pPr>
            <w:r w:rsidRPr="00E90D03">
              <w:rPr>
                <w:b/>
              </w:rPr>
              <w:t>Pour</w:t>
            </w:r>
          </w:p>
        </w:tc>
        <w:tc>
          <w:tcPr>
            <w:tcW w:w="0" w:type="auto"/>
          </w:tcPr>
          <w:p w:rsidR="004C66EC" w:rsidRPr="00E90D03" w:rsidRDefault="004C66EC">
            <w:pPr>
              <w:rPr>
                <w:b/>
              </w:rPr>
            </w:pPr>
            <w:r w:rsidRPr="00E90D03">
              <w:rPr>
                <w:b/>
              </w:rPr>
              <w:t>Contre</w:t>
            </w:r>
          </w:p>
        </w:tc>
        <w:tc>
          <w:tcPr>
            <w:tcW w:w="0" w:type="auto"/>
          </w:tcPr>
          <w:p w:rsidR="004C66EC" w:rsidRPr="00E90D03" w:rsidRDefault="004C66EC">
            <w:pPr>
              <w:rPr>
                <w:b/>
              </w:rPr>
            </w:pPr>
            <w:r w:rsidRPr="00E90D03">
              <w:rPr>
                <w:b/>
              </w:rPr>
              <w:t>Autre</w:t>
            </w:r>
          </w:p>
        </w:tc>
      </w:tr>
      <w:tr w:rsidR="004C66EC" w:rsidTr="00E90D03">
        <w:tc>
          <w:tcPr>
            <w:tcW w:w="0" w:type="auto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 défaut, tout continue comme avant.</w:t>
            </w:r>
          </w:p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</w:tr>
      <w:tr w:rsidR="004C66EC" w:rsidTr="00E90D03">
        <w:tc>
          <w:tcPr>
            <w:tcW w:w="0" w:type="auto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66EC" w:rsidRDefault="0059344F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Tout citoyen</w:t>
            </w:r>
            <w:r w:rsidR="004C66EC">
              <w:rPr>
                <w:rFonts w:ascii="Calibri" w:hAnsi="Calibri" w:cs="Calibri"/>
                <w:color w:val="000000"/>
              </w:rPr>
              <w:t xml:space="preserve"> a droit à sa part de pouvoir décisionnel sur les décisions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C66EC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4C66EC">
              <w:rPr>
                <w:rFonts w:ascii="Calibri" w:hAnsi="Calibri" w:cs="Calibri"/>
                <w:color w:val="000000"/>
              </w:rPr>
              <w:t xml:space="preserve"> concern</w:t>
            </w:r>
            <w:r>
              <w:rPr>
                <w:rFonts w:ascii="Calibri" w:hAnsi="Calibri" w:cs="Calibri"/>
                <w:color w:val="000000"/>
              </w:rPr>
              <w:t>ant</w:t>
            </w:r>
            <w:r w:rsidR="004C66E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</w:tr>
      <w:tr w:rsidR="001554E4" w:rsidTr="008E447A">
        <w:tc>
          <w:tcPr>
            <w:tcW w:w="0" w:type="auto"/>
          </w:tcPr>
          <w:p w:rsidR="001554E4" w:rsidRDefault="00A23BF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1554E4" w:rsidRDefault="001554E4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part de pouvoir décisionnel correspond à une voix par personne.</w:t>
            </w:r>
          </w:p>
        </w:tc>
        <w:tc>
          <w:tcPr>
            <w:tcW w:w="0" w:type="auto"/>
          </w:tcPr>
          <w:p w:rsidR="001554E4" w:rsidRDefault="001554E4" w:rsidP="008E447A"/>
        </w:tc>
        <w:tc>
          <w:tcPr>
            <w:tcW w:w="0" w:type="auto"/>
          </w:tcPr>
          <w:p w:rsidR="001554E4" w:rsidRDefault="001554E4" w:rsidP="008E447A"/>
        </w:tc>
        <w:tc>
          <w:tcPr>
            <w:tcW w:w="0" w:type="auto"/>
          </w:tcPr>
          <w:p w:rsidR="001554E4" w:rsidRDefault="001554E4" w:rsidP="008E447A"/>
        </w:tc>
      </w:tr>
      <w:tr w:rsidR="004C66EC" w:rsidTr="00E90D03">
        <w:tc>
          <w:tcPr>
            <w:tcW w:w="0" w:type="auto"/>
          </w:tcPr>
          <w:p w:rsidR="004C66EC" w:rsidRDefault="00A23BF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</w:t>
            </w:r>
            <w:r w:rsidR="0059344F">
              <w:rPr>
                <w:rFonts w:ascii="Calibri" w:hAnsi="Calibri" w:cs="Calibri"/>
                <w:color w:val="000000"/>
              </w:rPr>
              <w:t xml:space="preserve"> citoyen</w:t>
            </w:r>
            <w:r>
              <w:rPr>
                <w:rFonts w:ascii="Calibri" w:hAnsi="Calibri" w:cs="Calibri"/>
                <w:color w:val="000000"/>
              </w:rPr>
              <w:t xml:space="preserve"> peut déléguer</w:t>
            </w:r>
            <w:r w:rsidR="0059344F">
              <w:rPr>
                <w:rFonts w:ascii="Calibri" w:hAnsi="Calibri" w:cs="Calibri"/>
                <w:color w:val="000000"/>
              </w:rPr>
              <w:t xml:space="preserve"> à un autre</w:t>
            </w:r>
            <w:r>
              <w:rPr>
                <w:rFonts w:ascii="Calibri" w:hAnsi="Calibri" w:cs="Calibri"/>
                <w:color w:val="000000"/>
              </w:rPr>
              <w:t xml:space="preserve"> son pouvoir décisionnel </w:t>
            </w:r>
            <w:r w:rsidR="0059344F">
              <w:rPr>
                <w:rFonts w:ascii="Calibri" w:hAnsi="Calibri" w:cs="Calibri"/>
                <w:color w:val="000000"/>
              </w:rPr>
              <w:t>et le reprendre.</w:t>
            </w:r>
          </w:p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</w:tr>
      <w:tr w:rsidR="004C66EC" w:rsidTr="00E90D03">
        <w:tc>
          <w:tcPr>
            <w:tcW w:w="0" w:type="auto"/>
          </w:tcPr>
          <w:p w:rsidR="004C66EC" w:rsidRDefault="00A23BF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 décision est privée si les personnes concernées se connaissent sinon elle est publique.</w:t>
            </w:r>
          </w:p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</w:tr>
      <w:tr w:rsidR="002A295C" w:rsidTr="00E90D03">
        <w:tc>
          <w:tcPr>
            <w:tcW w:w="0" w:type="auto"/>
          </w:tcPr>
          <w:p w:rsidR="002A295C" w:rsidRDefault="002A295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0" w:type="auto"/>
            <w:vAlign w:val="center"/>
          </w:tcPr>
          <w:p w:rsidR="002A295C" w:rsidRDefault="002A295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 décision privée peut être plus restrictive qu’une décision publique.</w:t>
            </w:r>
          </w:p>
        </w:tc>
        <w:tc>
          <w:tcPr>
            <w:tcW w:w="0" w:type="auto"/>
          </w:tcPr>
          <w:p w:rsidR="002A295C" w:rsidRDefault="002A295C" w:rsidP="00906D4A"/>
        </w:tc>
        <w:tc>
          <w:tcPr>
            <w:tcW w:w="0" w:type="auto"/>
          </w:tcPr>
          <w:p w:rsidR="002A295C" w:rsidRDefault="002A295C" w:rsidP="00906D4A"/>
        </w:tc>
        <w:tc>
          <w:tcPr>
            <w:tcW w:w="0" w:type="auto"/>
          </w:tcPr>
          <w:p w:rsidR="002A295C" w:rsidRDefault="002A295C" w:rsidP="00906D4A"/>
        </w:tc>
      </w:tr>
      <w:tr w:rsidR="002A295C" w:rsidTr="00E90D03">
        <w:tc>
          <w:tcPr>
            <w:tcW w:w="0" w:type="auto"/>
          </w:tcPr>
          <w:p w:rsidR="002A295C" w:rsidRDefault="002A295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0" w:type="auto"/>
            <w:vAlign w:val="center"/>
          </w:tcPr>
          <w:p w:rsidR="002A295C" w:rsidRDefault="002A295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 décision privée est invalide si elle contredit une décision publique.</w:t>
            </w:r>
          </w:p>
        </w:tc>
        <w:tc>
          <w:tcPr>
            <w:tcW w:w="0" w:type="auto"/>
          </w:tcPr>
          <w:p w:rsidR="002A295C" w:rsidRDefault="002A295C" w:rsidP="00906D4A"/>
        </w:tc>
        <w:tc>
          <w:tcPr>
            <w:tcW w:w="0" w:type="auto"/>
          </w:tcPr>
          <w:p w:rsidR="002A295C" w:rsidRDefault="002A295C" w:rsidP="00906D4A"/>
        </w:tc>
        <w:tc>
          <w:tcPr>
            <w:tcW w:w="0" w:type="auto"/>
          </w:tcPr>
          <w:p w:rsidR="002A295C" w:rsidRDefault="002A295C" w:rsidP="00906D4A"/>
        </w:tc>
      </w:tr>
      <w:tr w:rsidR="004C66EC" w:rsidTr="00E90D03">
        <w:tc>
          <w:tcPr>
            <w:tcW w:w="0" w:type="auto"/>
          </w:tcPr>
          <w:p w:rsidR="004C66EC" w:rsidRDefault="00A23BF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Une décision publique doit être soumise au vote des personnes concernées sous forme d’une proposition avec les options </w:t>
            </w:r>
            <w:r w:rsidR="0059344F">
              <w:rPr>
                <w:rFonts w:ascii="Calibri" w:hAnsi="Calibri" w:cs="Calibri"/>
                <w:color w:val="000000"/>
              </w:rPr>
              <w:t xml:space="preserve">de vote </w:t>
            </w:r>
            <w:r>
              <w:rPr>
                <w:rFonts w:ascii="Calibri" w:hAnsi="Calibri" w:cs="Calibri"/>
                <w:color w:val="000000"/>
              </w:rPr>
              <w:t>« Pour », « Contre » et « Autre ».</w:t>
            </w:r>
          </w:p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</w:tr>
      <w:tr w:rsidR="004C66EC" w:rsidTr="00E90D03">
        <w:tc>
          <w:tcPr>
            <w:tcW w:w="0" w:type="auto"/>
          </w:tcPr>
          <w:p w:rsidR="004C66EC" w:rsidRDefault="00A23BF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 décision</w:t>
            </w:r>
            <w:r w:rsidR="002A295C">
              <w:rPr>
                <w:rFonts w:ascii="Calibri" w:hAnsi="Calibri" w:cs="Calibri"/>
                <w:color w:val="000000"/>
              </w:rPr>
              <w:t xml:space="preserve"> publique</w:t>
            </w:r>
            <w:r>
              <w:rPr>
                <w:rFonts w:ascii="Calibri" w:hAnsi="Calibri" w:cs="Calibri"/>
                <w:color w:val="000000"/>
              </w:rPr>
              <w:t xml:space="preserve"> est retenue si elle obtient plus de 75% des voix « Pour », elle est rejetée si elle obtient plus de 75% des voix « Contre », elle</w:t>
            </w:r>
            <w:r w:rsidR="0059344F">
              <w:rPr>
                <w:rFonts w:ascii="Calibri" w:hAnsi="Calibri" w:cs="Calibri"/>
                <w:color w:val="000000"/>
              </w:rPr>
              <w:t xml:space="preserve"> est</w:t>
            </w:r>
            <w:r>
              <w:rPr>
                <w:rFonts w:ascii="Calibri" w:hAnsi="Calibri" w:cs="Calibri"/>
                <w:color w:val="000000"/>
              </w:rPr>
              <w:t xml:space="preserve"> débattue </w:t>
            </w:r>
            <w:r w:rsidR="0059344F">
              <w:rPr>
                <w:rFonts w:ascii="Calibri" w:hAnsi="Calibri" w:cs="Calibri"/>
                <w:color w:val="000000"/>
              </w:rPr>
              <w:t xml:space="preserve">sur demande </w:t>
            </w:r>
            <w:r>
              <w:rPr>
                <w:rFonts w:ascii="Calibri" w:hAnsi="Calibri" w:cs="Calibri"/>
                <w:color w:val="000000"/>
              </w:rPr>
              <w:t xml:space="preserve">si le résultat est entre </w:t>
            </w:r>
            <w:r w:rsidR="0059344F">
              <w:rPr>
                <w:rFonts w:ascii="Calibri" w:hAnsi="Calibri" w:cs="Calibri"/>
                <w:color w:val="000000"/>
              </w:rPr>
              <w:t xml:space="preserve">les </w:t>
            </w:r>
            <w:r>
              <w:rPr>
                <w:rFonts w:ascii="Calibri" w:hAnsi="Calibri" w:cs="Calibri"/>
                <w:color w:val="000000"/>
              </w:rPr>
              <w:t>deux.</w:t>
            </w:r>
          </w:p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</w:tr>
      <w:tr w:rsidR="001554E4" w:rsidTr="00E90D03">
        <w:tc>
          <w:tcPr>
            <w:tcW w:w="0" w:type="auto"/>
          </w:tcPr>
          <w:p w:rsidR="001554E4" w:rsidRDefault="00A23BF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1554E4" w:rsidRDefault="001554E4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 niveaux administratifs sont définis du plus local au plus global.</w:t>
            </w:r>
          </w:p>
        </w:tc>
        <w:tc>
          <w:tcPr>
            <w:tcW w:w="0" w:type="auto"/>
          </w:tcPr>
          <w:p w:rsidR="001554E4" w:rsidRDefault="001554E4" w:rsidP="00906D4A"/>
        </w:tc>
        <w:tc>
          <w:tcPr>
            <w:tcW w:w="0" w:type="auto"/>
          </w:tcPr>
          <w:p w:rsidR="001554E4" w:rsidRDefault="001554E4" w:rsidP="00906D4A"/>
        </w:tc>
        <w:tc>
          <w:tcPr>
            <w:tcW w:w="0" w:type="auto"/>
          </w:tcPr>
          <w:p w:rsidR="001554E4" w:rsidRDefault="001554E4" w:rsidP="00906D4A"/>
        </w:tc>
      </w:tr>
      <w:tr w:rsidR="001554E4" w:rsidTr="00E90D03">
        <w:tc>
          <w:tcPr>
            <w:tcW w:w="0" w:type="auto"/>
          </w:tcPr>
          <w:p w:rsidR="001554E4" w:rsidRDefault="00A23BF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</w:t>
            </w:r>
          </w:p>
        </w:tc>
        <w:tc>
          <w:tcPr>
            <w:tcW w:w="0" w:type="auto"/>
            <w:vAlign w:val="center"/>
          </w:tcPr>
          <w:p w:rsidR="001554E4" w:rsidRDefault="001554E4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Toute proposition entre dans le système au niveau</w:t>
            </w:r>
            <w:r w:rsidR="00EF26DB">
              <w:rPr>
                <w:rFonts w:ascii="Calibri" w:hAnsi="Calibri" w:cs="Calibri"/>
                <w:color w:val="000000"/>
              </w:rPr>
              <w:t xml:space="preserve"> administratif</w:t>
            </w:r>
            <w:r>
              <w:rPr>
                <w:rFonts w:ascii="Calibri" w:hAnsi="Calibri" w:cs="Calibri"/>
                <w:color w:val="000000"/>
              </w:rPr>
              <w:t xml:space="preserve"> local.</w:t>
            </w:r>
          </w:p>
        </w:tc>
        <w:tc>
          <w:tcPr>
            <w:tcW w:w="0" w:type="auto"/>
          </w:tcPr>
          <w:p w:rsidR="001554E4" w:rsidRDefault="001554E4" w:rsidP="00906D4A"/>
        </w:tc>
        <w:tc>
          <w:tcPr>
            <w:tcW w:w="0" w:type="auto"/>
          </w:tcPr>
          <w:p w:rsidR="001554E4" w:rsidRDefault="001554E4" w:rsidP="00906D4A"/>
        </w:tc>
        <w:tc>
          <w:tcPr>
            <w:tcW w:w="0" w:type="auto"/>
          </w:tcPr>
          <w:p w:rsidR="001554E4" w:rsidRDefault="001554E4" w:rsidP="00906D4A"/>
        </w:tc>
      </w:tr>
      <w:tr w:rsidR="001554E4" w:rsidTr="00E90D03">
        <w:tc>
          <w:tcPr>
            <w:tcW w:w="0" w:type="auto"/>
          </w:tcPr>
          <w:p w:rsidR="001554E4" w:rsidRDefault="00A23BF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</w:t>
            </w:r>
          </w:p>
        </w:tc>
        <w:tc>
          <w:tcPr>
            <w:tcW w:w="0" w:type="auto"/>
            <w:vAlign w:val="center"/>
          </w:tcPr>
          <w:p w:rsidR="001554E4" w:rsidRDefault="00A23BF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Seule une décision</w:t>
            </w:r>
            <w:r w:rsidR="002A295C">
              <w:rPr>
                <w:rFonts w:ascii="Calibri" w:hAnsi="Calibri" w:cs="Calibri"/>
                <w:color w:val="000000"/>
              </w:rPr>
              <w:t xml:space="preserve"> publique</w:t>
            </w:r>
            <w:r>
              <w:rPr>
                <w:rFonts w:ascii="Calibri" w:hAnsi="Calibri" w:cs="Calibri"/>
                <w:color w:val="000000"/>
              </w:rPr>
              <w:t xml:space="preserve"> retenue peut passer au niveau plus englobant.</w:t>
            </w:r>
          </w:p>
        </w:tc>
        <w:tc>
          <w:tcPr>
            <w:tcW w:w="0" w:type="auto"/>
          </w:tcPr>
          <w:p w:rsidR="001554E4" w:rsidRDefault="001554E4" w:rsidP="00906D4A"/>
        </w:tc>
        <w:tc>
          <w:tcPr>
            <w:tcW w:w="0" w:type="auto"/>
          </w:tcPr>
          <w:p w:rsidR="001554E4" w:rsidRDefault="001554E4" w:rsidP="00906D4A"/>
        </w:tc>
        <w:tc>
          <w:tcPr>
            <w:tcW w:w="0" w:type="auto"/>
          </w:tcPr>
          <w:p w:rsidR="001554E4" w:rsidRDefault="001554E4" w:rsidP="00906D4A"/>
        </w:tc>
      </w:tr>
      <w:tr w:rsidR="004C66EC" w:rsidTr="00E90D03">
        <w:tc>
          <w:tcPr>
            <w:tcW w:w="0" w:type="auto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juges sont élus annuellement</w:t>
            </w:r>
            <w:r w:rsidR="00AC3AA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pour un mandat d’un an</w:t>
            </w:r>
            <w:r w:rsidR="000D5F4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</w:tr>
      <w:tr w:rsidR="003D7737" w:rsidTr="008E447A">
        <w:tc>
          <w:tcPr>
            <w:tcW w:w="0" w:type="auto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  <w:tc>
          <w:tcPr>
            <w:tcW w:w="0" w:type="auto"/>
            <w:vAlign w:val="center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vote pour l’élection des juges s’exerce selon le même principe que pour une décision</w:t>
            </w:r>
            <w:r w:rsidR="001554E4">
              <w:rPr>
                <w:rFonts w:ascii="Calibri" w:hAnsi="Calibri" w:cs="Calibri"/>
                <w:color w:val="000000"/>
              </w:rPr>
              <w:t xml:space="preserve"> publique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</w:tr>
      <w:tr w:rsidR="003D7737" w:rsidTr="008E447A">
        <w:tc>
          <w:tcPr>
            <w:tcW w:w="0" w:type="auto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9.1.1</w:t>
            </w:r>
          </w:p>
        </w:tc>
        <w:tc>
          <w:tcPr>
            <w:tcW w:w="0" w:type="auto"/>
            <w:vAlign w:val="center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citoyens sont les électeurs au niveau local.</w:t>
            </w:r>
          </w:p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</w:tr>
      <w:tr w:rsidR="003D7737" w:rsidTr="008E447A">
        <w:tc>
          <w:tcPr>
            <w:tcW w:w="0" w:type="auto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9.1.2</w:t>
            </w:r>
          </w:p>
        </w:tc>
        <w:tc>
          <w:tcPr>
            <w:tcW w:w="0" w:type="auto"/>
            <w:vAlign w:val="center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juges d’un niveau sont les électeurs au niveau plus englobant.</w:t>
            </w:r>
          </w:p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</w:tr>
      <w:tr w:rsidR="003D7737" w:rsidTr="008E447A">
        <w:tc>
          <w:tcPr>
            <w:tcW w:w="0" w:type="auto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  <w:tc>
          <w:tcPr>
            <w:tcW w:w="0" w:type="auto"/>
            <w:vAlign w:val="center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Tout citoyen peut poser sa candidature pour être juge au niveau local.</w:t>
            </w:r>
          </w:p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</w:tr>
      <w:tr w:rsidR="003D7737" w:rsidTr="008E447A">
        <w:tc>
          <w:tcPr>
            <w:tcW w:w="0" w:type="auto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</w:t>
            </w:r>
          </w:p>
        </w:tc>
        <w:tc>
          <w:tcPr>
            <w:tcW w:w="0" w:type="auto"/>
            <w:vAlign w:val="center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Tout juge ayant complété un mandat à un niveau est éligible au niveau plus englobant.</w:t>
            </w:r>
          </w:p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</w:tr>
      <w:tr w:rsidR="003D7737" w:rsidTr="008E447A">
        <w:tc>
          <w:tcPr>
            <w:tcW w:w="0" w:type="auto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0" w:type="auto"/>
            <w:vAlign w:val="center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juges travaillent en équipes sur le territoire où porte leur jugement.</w:t>
            </w:r>
          </w:p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</w:tr>
      <w:tr w:rsidR="003D7737" w:rsidTr="008E447A">
        <w:tc>
          <w:tcPr>
            <w:tcW w:w="0" w:type="auto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9.4.1</w:t>
            </w:r>
          </w:p>
        </w:tc>
        <w:tc>
          <w:tcPr>
            <w:tcW w:w="0" w:type="auto"/>
            <w:vAlign w:val="center"/>
          </w:tcPr>
          <w:p w:rsidR="003D7737" w:rsidRDefault="003D7737" w:rsidP="008E44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Chaque équipe est composée d’au moins </w:t>
            </w:r>
            <w:r w:rsidR="00AE41C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juge</w:t>
            </w:r>
            <w:r w:rsidR="00A23BF7">
              <w:rPr>
                <w:rFonts w:ascii="Calibri" w:hAnsi="Calibri" w:cs="Calibri"/>
                <w:color w:val="000000"/>
              </w:rPr>
              <w:t xml:space="preserve">s dont </w:t>
            </w:r>
            <w:r w:rsidR="00E22AD6">
              <w:rPr>
                <w:rFonts w:ascii="Calibri" w:hAnsi="Calibri" w:cs="Calibri"/>
                <w:color w:val="000000"/>
              </w:rPr>
              <w:t xml:space="preserve">au moins </w:t>
            </w:r>
            <w:r w:rsidR="00A23BF7">
              <w:rPr>
                <w:rFonts w:ascii="Calibri" w:hAnsi="Calibri" w:cs="Calibri"/>
                <w:color w:val="000000"/>
              </w:rPr>
              <w:t xml:space="preserve">un du niveau </w:t>
            </w:r>
            <w:r>
              <w:rPr>
                <w:rFonts w:ascii="Calibri" w:hAnsi="Calibri" w:cs="Calibri"/>
                <w:color w:val="000000"/>
              </w:rPr>
              <w:t>local</w:t>
            </w:r>
            <w:r w:rsidR="00A23BF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  <w:tc>
          <w:tcPr>
            <w:tcW w:w="0" w:type="auto"/>
          </w:tcPr>
          <w:p w:rsidR="003D7737" w:rsidRDefault="003D7737" w:rsidP="008E447A"/>
        </w:tc>
      </w:tr>
      <w:tr w:rsidR="00A57A92" w:rsidTr="00911725">
        <w:tc>
          <w:tcPr>
            <w:tcW w:w="0" w:type="auto"/>
          </w:tcPr>
          <w:p w:rsidR="00A57A92" w:rsidRDefault="00A57A92" w:rsidP="0091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9.4.2</w:t>
            </w:r>
          </w:p>
        </w:tc>
        <w:tc>
          <w:tcPr>
            <w:tcW w:w="0" w:type="auto"/>
            <w:vAlign w:val="center"/>
          </w:tcPr>
          <w:p w:rsidR="00A57A92" w:rsidRDefault="00A57A92" w:rsidP="009117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salaire du juge est le salaire moyen de la population pour laquelle il travaille.</w:t>
            </w:r>
          </w:p>
        </w:tc>
        <w:tc>
          <w:tcPr>
            <w:tcW w:w="0" w:type="auto"/>
          </w:tcPr>
          <w:p w:rsidR="00A57A92" w:rsidRDefault="00A57A92" w:rsidP="00911725"/>
        </w:tc>
        <w:tc>
          <w:tcPr>
            <w:tcW w:w="0" w:type="auto"/>
          </w:tcPr>
          <w:p w:rsidR="00A57A92" w:rsidRDefault="00A57A92" w:rsidP="00911725"/>
        </w:tc>
        <w:tc>
          <w:tcPr>
            <w:tcW w:w="0" w:type="auto"/>
          </w:tcPr>
          <w:p w:rsidR="00A57A92" w:rsidRDefault="00A57A92" w:rsidP="00911725"/>
        </w:tc>
      </w:tr>
      <w:tr w:rsidR="000D5F48" w:rsidTr="00E90D03">
        <w:tc>
          <w:tcPr>
            <w:tcW w:w="0" w:type="auto"/>
          </w:tcPr>
          <w:p w:rsidR="000D5F48" w:rsidRDefault="000D5F48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  <w:r w:rsidR="003D773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0D5F48" w:rsidRDefault="000D5F48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mandat des juges consiste à interpréter les décisions</w:t>
            </w:r>
            <w:r w:rsidR="00E22AD6">
              <w:rPr>
                <w:rFonts w:ascii="Calibri" w:hAnsi="Calibri" w:cs="Calibri"/>
                <w:color w:val="000000"/>
              </w:rPr>
              <w:t>, à préciser la préséance en cas de décisions contradictoires et</w:t>
            </w:r>
            <w:r>
              <w:rPr>
                <w:rFonts w:ascii="Calibri" w:hAnsi="Calibri" w:cs="Calibri"/>
                <w:color w:val="000000"/>
              </w:rPr>
              <w:t xml:space="preserve"> à déterminer qui a droit de vote à une </w:t>
            </w:r>
            <w:r w:rsidR="00A23BF7">
              <w:rPr>
                <w:rFonts w:ascii="Calibri" w:hAnsi="Calibri" w:cs="Calibri"/>
                <w:color w:val="000000"/>
              </w:rPr>
              <w:t>proposition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</w:tcPr>
          <w:p w:rsidR="000D5F48" w:rsidRDefault="000D5F48" w:rsidP="00906D4A"/>
        </w:tc>
        <w:tc>
          <w:tcPr>
            <w:tcW w:w="0" w:type="auto"/>
          </w:tcPr>
          <w:p w:rsidR="000D5F48" w:rsidRDefault="000D5F48" w:rsidP="00906D4A"/>
        </w:tc>
        <w:tc>
          <w:tcPr>
            <w:tcW w:w="0" w:type="auto"/>
          </w:tcPr>
          <w:p w:rsidR="000D5F48" w:rsidRDefault="000D5F48" w:rsidP="00906D4A"/>
        </w:tc>
      </w:tr>
      <w:tr w:rsidR="003D7737" w:rsidTr="00E90D03">
        <w:tc>
          <w:tcPr>
            <w:tcW w:w="0" w:type="auto"/>
          </w:tcPr>
          <w:p w:rsidR="003D7737" w:rsidRDefault="003D773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9.5.1</w:t>
            </w:r>
          </w:p>
        </w:tc>
        <w:tc>
          <w:tcPr>
            <w:tcW w:w="0" w:type="auto"/>
            <w:vAlign w:val="center"/>
          </w:tcPr>
          <w:p w:rsidR="003D7737" w:rsidRDefault="003D7737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juge exerce son mandat sur demande d’un de ses électeurs (citoyen ou juge selon le niveau).</w:t>
            </w:r>
          </w:p>
        </w:tc>
        <w:tc>
          <w:tcPr>
            <w:tcW w:w="0" w:type="auto"/>
          </w:tcPr>
          <w:p w:rsidR="003D7737" w:rsidRDefault="003D7737" w:rsidP="00906D4A"/>
        </w:tc>
        <w:tc>
          <w:tcPr>
            <w:tcW w:w="0" w:type="auto"/>
          </w:tcPr>
          <w:p w:rsidR="003D7737" w:rsidRDefault="003D7737" w:rsidP="00906D4A"/>
        </w:tc>
        <w:tc>
          <w:tcPr>
            <w:tcW w:w="0" w:type="auto"/>
          </w:tcPr>
          <w:p w:rsidR="003D7737" w:rsidRDefault="003D7737" w:rsidP="00906D4A"/>
        </w:tc>
      </w:tr>
      <w:tr w:rsidR="002A295C" w:rsidTr="00E90D03">
        <w:tc>
          <w:tcPr>
            <w:tcW w:w="0" w:type="auto"/>
          </w:tcPr>
          <w:p w:rsidR="002A295C" w:rsidRDefault="002A295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9.5.2</w:t>
            </w:r>
          </w:p>
        </w:tc>
        <w:tc>
          <w:tcPr>
            <w:tcW w:w="0" w:type="auto"/>
            <w:vAlign w:val="center"/>
          </w:tcPr>
          <w:p w:rsidR="002A295C" w:rsidRDefault="002A295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jugement doit être approuvé</w:t>
            </w:r>
            <w:r w:rsidR="005C5C11">
              <w:rPr>
                <w:rFonts w:ascii="Calibri" w:hAnsi="Calibri" w:cs="Calibri"/>
                <w:color w:val="000000"/>
              </w:rPr>
              <w:t xml:space="preserve"> au moins</w:t>
            </w:r>
            <w:r>
              <w:rPr>
                <w:rFonts w:ascii="Calibri" w:hAnsi="Calibri" w:cs="Calibri"/>
                <w:color w:val="000000"/>
              </w:rPr>
              <w:t xml:space="preserve"> par le demandeur ou deux autres juges.</w:t>
            </w:r>
          </w:p>
        </w:tc>
        <w:tc>
          <w:tcPr>
            <w:tcW w:w="0" w:type="auto"/>
          </w:tcPr>
          <w:p w:rsidR="002A295C" w:rsidRDefault="002A295C" w:rsidP="00906D4A"/>
        </w:tc>
        <w:tc>
          <w:tcPr>
            <w:tcW w:w="0" w:type="auto"/>
          </w:tcPr>
          <w:p w:rsidR="002A295C" w:rsidRDefault="002A295C" w:rsidP="00906D4A"/>
        </w:tc>
        <w:tc>
          <w:tcPr>
            <w:tcW w:w="0" w:type="auto"/>
          </w:tcPr>
          <w:p w:rsidR="002A295C" w:rsidRDefault="002A295C" w:rsidP="00906D4A"/>
        </w:tc>
      </w:tr>
      <w:tr w:rsidR="004C66EC" w:rsidTr="00E90D03">
        <w:tc>
          <w:tcPr>
            <w:tcW w:w="0" w:type="auto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4C66EC" w:rsidRDefault="004C66EC" w:rsidP="00906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gouvernance s’exerce du niveau le plus local au niveau le plus global, en appliquant les décisions retenues.</w:t>
            </w:r>
          </w:p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  <w:tc>
          <w:tcPr>
            <w:tcW w:w="0" w:type="auto"/>
          </w:tcPr>
          <w:p w:rsidR="004C66EC" w:rsidRDefault="004C66EC" w:rsidP="00906D4A"/>
        </w:tc>
      </w:tr>
    </w:tbl>
    <w:p w:rsidR="00906D4A" w:rsidRDefault="00906D4A"/>
    <w:p w:rsidR="00170D5B" w:rsidRDefault="00170D5B">
      <w:r>
        <w:t>Commentaires (préciser s’il y a lieu le numéro d’article auquel chaque commentaire se rapporte) :</w:t>
      </w:r>
    </w:p>
    <w:sectPr w:rsidR="00170D5B" w:rsidSect="00E90D03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DA"/>
    <w:rsid w:val="00050BB1"/>
    <w:rsid w:val="000D5F48"/>
    <w:rsid w:val="001554E4"/>
    <w:rsid w:val="00170B64"/>
    <w:rsid w:val="00170D5B"/>
    <w:rsid w:val="00183B54"/>
    <w:rsid w:val="002A295C"/>
    <w:rsid w:val="0030347C"/>
    <w:rsid w:val="00303704"/>
    <w:rsid w:val="00362B5D"/>
    <w:rsid w:val="003D7737"/>
    <w:rsid w:val="00416D8C"/>
    <w:rsid w:val="00460880"/>
    <w:rsid w:val="0048569F"/>
    <w:rsid w:val="004B0774"/>
    <w:rsid w:val="004C66EC"/>
    <w:rsid w:val="004D0D01"/>
    <w:rsid w:val="0059344F"/>
    <w:rsid w:val="005C5C11"/>
    <w:rsid w:val="005E0E06"/>
    <w:rsid w:val="005F127B"/>
    <w:rsid w:val="00675ADA"/>
    <w:rsid w:val="0067607C"/>
    <w:rsid w:val="00701E44"/>
    <w:rsid w:val="00780909"/>
    <w:rsid w:val="00785D25"/>
    <w:rsid w:val="00810566"/>
    <w:rsid w:val="00887B4A"/>
    <w:rsid w:val="00906D4A"/>
    <w:rsid w:val="00911455"/>
    <w:rsid w:val="00933021"/>
    <w:rsid w:val="00A23BF7"/>
    <w:rsid w:val="00A336F8"/>
    <w:rsid w:val="00A57A92"/>
    <w:rsid w:val="00AC3AA8"/>
    <w:rsid w:val="00AE41CC"/>
    <w:rsid w:val="00C21888"/>
    <w:rsid w:val="00C324D2"/>
    <w:rsid w:val="00C631A5"/>
    <w:rsid w:val="00D6663F"/>
    <w:rsid w:val="00DF147E"/>
    <w:rsid w:val="00E22AD6"/>
    <w:rsid w:val="00E36C7D"/>
    <w:rsid w:val="00E907B1"/>
    <w:rsid w:val="00E90D03"/>
    <w:rsid w:val="00EF26DB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109EE-BB27-4DED-B33D-0E036BB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6C51-7EBB-49D1-A0F0-84332B2E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Huot</dc:creator>
  <cp:keywords/>
  <dc:description/>
  <cp:lastModifiedBy>Axel Klein</cp:lastModifiedBy>
  <cp:revision>2</cp:revision>
  <dcterms:created xsi:type="dcterms:W3CDTF">2019-01-21T14:33:00Z</dcterms:created>
  <dcterms:modified xsi:type="dcterms:W3CDTF">2019-01-21T14:33:00Z</dcterms:modified>
</cp:coreProperties>
</file>