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1CE2" w14:textId="0FBE9271" w:rsidR="00435605" w:rsidRDefault="00435605" w:rsidP="004356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Mémoire soumis à Constituons</w:t>
      </w:r>
      <w:r w:rsidRPr="00D87CD7">
        <w:rPr>
          <w:rFonts w:ascii="Arial" w:hAnsi="Arial"/>
          <w:b/>
        </w:rPr>
        <w:t xml:space="preserve">! </w:t>
      </w:r>
    </w:p>
    <w:p w14:paraId="2B62E0F2" w14:textId="6DD4390E" w:rsidR="00435605" w:rsidRDefault="00435605" w:rsidP="004356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Commission 2, question 1 </w:t>
      </w:r>
      <w:r w:rsidR="0082228B">
        <w:rPr>
          <w:rFonts w:ascii="Arial" w:hAnsi="Arial"/>
          <w:b/>
        </w:rPr>
        <w:t>—</w:t>
      </w:r>
      <w:r>
        <w:rPr>
          <w:rFonts w:ascii="Arial" w:hAnsi="Arial"/>
          <w:b/>
        </w:rPr>
        <w:t xml:space="preserve"> Droits et devoirs fondamentaux</w:t>
      </w:r>
    </w:p>
    <w:p w14:paraId="0B5C6B66" w14:textId="48915CCC" w:rsidR="00435605" w:rsidRPr="00302FD2" w:rsidRDefault="00C973B7" w:rsidP="00435605">
      <w:pPr>
        <w:jc w:val="center"/>
        <w:rPr>
          <w:rFonts w:ascii="Arial" w:hAnsi="Arial"/>
        </w:rPr>
      </w:pPr>
      <w:r>
        <w:rPr>
          <w:rFonts w:ascii="Arial" w:hAnsi="Arial"/>
        </w:rPr>
        <w:t>24</w:t>
      </w:r>
      <w:r w:rsidR="00375DE4">
        <w:rPr>
          <w:rFonts w:ascii="Arial" w:hAnsi="Arial"/>
        </w:rPr>
        <w:t xml:space="preserve"> </w:t>
      </w:r>
      <w:r w:rsidR="00435605">
        <w:rPr>
          <w:rFonts w:ascii="Arial" w:hAnsi="Arial"/>
        </w:rPr>
        <w:t>décembre 2018</w:t>
      </w:r>
    </w:p>
    <w:p w14:paraId="7390E678" w14:textId="77777777" w:rsidR="00435605" w:rsidRDefault="00435605" w:rsidP="00435605">
      <w:pPr>
        <w:rPr>
          <w:rFonts w:ascii="Arial" w:hAnsi="Arial"/>
          <w:b/>
        </w:rPr>
      </w:pPr>
      <w:r>
        <w:rPr>
          <w:rFonts w:ascii="Arial" w:hAnsi="Arial"/>
          <w:b/>
        </w:rPr>
        <w:t>Auteur</w:t>
      </w:r>
    </w:p>
    <w:p w14:paraId="18E66F33" w14:textId="77777777" w:rsidR="00435605" w:rsidRDefault="00435605" w:rsidP="00435605">
      <w:pPr>
        <w:rPr>
          <w:rFonts w:ascii="Arial" w:hAnsi="Arial"/>
        </w:rPr>
      </w:pPr>
      <w:r>
        <w:rPr>
          <w:rFonts w:ascii="Arial" w:hAnsi="Arial"/>
        </w:rPr>
        <w:t>Daniel Raunet</w:t>
      </w:r>
    </w:p>
    <w:p w14:paraId="5B44B6B1" w14:textId="77777777" w:rsidR="00435605" w:rsidRDefault="00435605" w:rsidP="00435605">
      <w:pPr>
        <w:rPr>
          <w:rFonts w:ascii="Arial" w:hAnsi="Arial"/>
        </w:rPr>
      </w:pPr>
      <w:r>
        <w:rPr>
          <w:rFonts w:ascii="Arial" w:hAnsi="Arial"/>
        </w:rPr>
        <w:t>Journaliste retraité (de la radio de Radio-Canada)</w:t>
      </w:r>
    </w:p>
    <w:p w14:paraId="762182DB" w14:textId="77777777" w:rsidR="00435605" w:rsidRDefault="00435605" w:rsidP="00435605">
      <w:pPr>
        <w:rPr>
          <w:rFonts w:ascii="Arial" w:hAnsi="Arial"/>
        </w:rPr>
      </w:pPr>
      <w:r>
        <w:rPr>
          <w:rFonts w:ascii="Arial" w:hAnsi="Arial"/>
        </w:rPr>
        <w:t>appartement 2, 565 rue Saint-Laurent Ouest,</w:t>
      </w:r>
    </w:p>
    <w:p w14:paraId="7EA61499" w14:textId="77777777" w:rsidR="00435605" w:rsidRDefault="00435605" w:rsidP="00435605">
      <w:pPr>
        <w:rPr>
          <w:rFonts w:ascii="Arial" w:hAnsi="Arial"/>
        </w:rPr>
      </w:pPr>
      <w:r>
        <w:rPr>
          <w:rFonts w:ascii="Arial" w:hAnsi="Arial"/>
        </w:rPr>
        <w:t>Longueuil (J4H 1N8)</w:t>
      </w:r>
    </w:p>
    <w:p w14:paraId="44713A54" w14:textId="77777777" w:rsidR="00435605" w:rsidRDefault="00435605" w:rsidP="00435605">
      <w:pPr>
        <w:rPr>
          <w:rFonts w:ascii="Arial" w:hAnsi="Arial"/>
        </w:rPr>
      </w:pPr>
      <w:r>
        <w:rPr>
          <w:rFonts w:ascii="Arial" w:hAnsi="Arial"/>
        </w:rPr>
        <w:t>450-651-7244</w:t>
      </w:r>
    </w:p>
    <w:p w14:paraId="46D76F06" w14:textId="77777777" w:rsidR="00435605" w:rsidRDefault="001F7E68" w:rsidP="00435605">
      <w:pPr>
        <w:rPr>
          <w:rFonts w:ascii="Arial" w:hAnsi="Arial"/>
        </w:rPr>
      </w:pPr>
      <w:hyperlink r:id="rId8" w:history="1">
        <w:r w:rsidR="00435605" w:rsidRPr="00996C18">
          <w:rPr>
            <w:rStyle w:val="Lienhypertexte"/>
            <w:rFonts w:ascii="Arial" w:hAnsi="Arial"/>
          </w:rPr>
          <w:t>draunet@hotmail.fr</w:t>
        </w:r>
      </w:hyperlink>
    </w:p>
    <w:p w14:paraId="51CB1019" w14:textId="77777777" w:rsidR="00435605" w:rsidRPr="00605C9A" w:rsidRDefault="00435605" w:rsidP="00DB71C4">
      <w:pPr>
        <w:jc w:val="both"/>
        <w:rPr>
          <w:rFonts w:ascii="Arial" w:hAnsi="Arial"/>
        </w:rPr>
      </w:pPr>
    </w:p>
    <w:p w14:paraId="76355D87" w14:textId="77777777" w:rsidR="00435605" w:rsidRDefault="00435605" w:rsidP="00DB71C4">
      <w:pPr>
        <w:jc w:val="both"/>
        <w:rPr>
          <w:rFonts w:ascii="Arial" w:hAnsi="Arial"/>
          <w:b/>
        </w:rPr>
      </w:pPr>
      <w:r>
        <w:rPr>
          <w:rFonts w:ascii="Arial" w:hAnsi="Arial"/>
        </w:rPr>
        <w:t>J</w:t>
      </w:r>
      <w:r w:rsidRPr="00605C9A">
        <w:rPr>
          <w:rFonts w:ascii="Arial" w:hAnsi="Arial"/>
        </w:rPr>
        <w:t>e suis membre</w:t>
      </w:r>
      <w:r>
        <w:rPr>
          <w:rFonts w:ascii="Arial" w:hAnsi="Arial"/>
        </w:rPr>
        <w:t xml:space="preserve"> de l</w:t>
      </w:r>
      <w:r w:rsidRPr="00605C9A">
        <w:rPr>
          <w:rFonts w:ascii="Arial" w:hAnsi="Arial"/>
        </w:rPr>
        <w:t>’Alliance pour une constitution citoyenne du Québec, mais je présente ce mémoire en mon nom propre</w:t>
      </w:r>
      <w:r>
        <w:rPr>
          <w:rFonts w:ascii="Arial" w:hAnsi="Arial"/>
          <w:b/>
        </w:rPr>
        <w:t>.</w:t>
      </w:r>
    </w:p>
    <w:p w14:paraId="46035206" w14:textId="77777777" w:rsidR="001C718A" w:rsidRDefault="001C718A" w:rsidP="00DB71C4">
      <w:pPr>
        <w:jc w:val="both"/>
        <w:rPr>
          <w:rFonts w:ascii="Arial" w:hAnsi="Arial"/>
          <w:b/>
        </w:rPr>
      </w:pPr>
    </w:p>
    <w:p w14:paraId="78520B10" w14:textId="77777777" w:rsidR="00402737" w:rsidRDefault="00402737" w:rsidP="00DB71C4">
      <w:pPr>
        <w:jc w:val="both"/>
        <w:rPr>
          <w:rFonts w:ascii="Arial" w:hAnsi="Arial"/>
          <w:b/>
        </w:rPr>
      </w:pPr>
    </w:p>
    <w:p w14:paraId="2C08F13D" w14:textId="34CAD5BC" w:rsidR="001C718A" w:rsidRDefault="001C718A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CONSTITUONS! ET LE DROIT À L’INFORMATION.</w:t>
      </w:r>
    </w:p>
    <w:p w14:paraId="338CACB3" w14:textId="77777777" w:rsidR="001C718A" w:rsidRDefault="001C718A" w:rsidP="00DB71C4">
      <w:pPr>
        <w:jc w:val="both"/>
        <w:rPr>
          <w:rFonts w:ascii="Arial" w:hAnsi="Arial"/>
          <w:b/>
        </w:rPr>
      </w:pPr>
    </w:p>
    <w:p w14:paraId="4730C38D" w14:textId="30C3D787" w:rsidR="001C718A" w:rsidRPr="001C718A" w:rsidRDefault="001C718A" w:rsidP="00DB71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Dans son questionnaire en ligne, Constituons! demande à la population si le droit à une information neutre et objective doit être inclus dans la liste des droits fondamentaux de la constitution du Québec. </w:t>
      </w:r>
      <w:r w:rsidR="00BF5256">
        <w:rPr>
          <w:rFonts w:ascii="Arial" w:hAnsi="Arial"/>
        </w:rPr>
        <w:t>C</w:t>
      </w:r>
      <w:r>
        <w:rPr>
          <w:rFonts w:ascii="Arial" w:hAnsi="Arial"/>
        </w:rPr>
        <w:t xml:space="preserve">ette question semble faire référence à l’absence d’une information équilibrée dans les médias du fait de leur concentration ainsi, peut-être, qu’au fléau de la propagande, gouvernementale ou autre. Mon mémoire ne traite pas de ces </w:t>
      </w:r>
      <w:r w:rsidR="001F7E68">
        <w:rPr>
          <w:rFonts w:ascii="Arial" w:hAnsi="Arial"/>
        </w:rPr>
        <w:t>importants sujets</w:t>
      </w:r>
      <w:r>
        <w:rPr>
          <w:rFonts w:ascii="Arial" w:hAnsi="Arial"/>
        </w:rPr>
        <w:t>, mais plutôt d’un autre aspect de la question, un enjeu qui me semble tout aussi fondamental : l’accès libre des citoyennes et des citoyens à l’information sur les activités du gouvernement et des institutions de l’État. Or cet accès est, dans le régime actuel, très limité</w:t>
      </w:r>
      <w:r w:rsidR="00EB7D2B">
        <w:rPr>
          <w:rFonts w:ascii="Arial" w:hAnsi="Arial"/>
        </w:rPr>
        <w:t> </w:t>
      </w:r>
      <w:r>
        <w:rPr>
          <w:rFonts w:ascii="Arial" w:hAnsi="Arial"/>
        </w:rPr>
        <w:t>; on peut même affirmer que l’opacité et le secret priment la plupart du temps sur la transparence. Pourtant, sans liberté d’accès à l’information, il ne peut pas y avoir de véritable démocratie.</w:t>
      </w:r>
    </w:p>
    <w:p w14:paraId="6E1B8B99" w14:textId="1941BAF3" w:rsidR="001C718A" w:rsidRDefault="001C718A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7E7F4AF0" w14:textId="35A84A23" w:rsidR="00402737" w:rsidRDefault="00402737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5726A2">
        <w:rPr>
          <w:rFonts w:ascii="Arial" w:hAnsi="Arial"/>
          <w:b/>
        </w:rPr>
        <w:t>ROPOSITION</w:t>
      </w:r>
    </w:p>
    <w:p w14:paraId="746AC934" w14:textId="77777777" w:rsidR="00402737" w:rsidRDefault="00402737" w:rsidP="00DB71C4">
      <w:pPr>
        <w:jc w:val="both"/>
        <w:rPr>
          <w:rFonts w:ascii="Arial" w:hAnsi="Arial"/>
          <w:b/>
        </w:rPr>
      </w:pPr>
    </w:p>
    <w:p w14:paraId="3FB5BF02" w14:textId="77777777" w:rsidR="00402737" w:rsidRDefault="00402737" w:rsidP="00DB71C4">
      <w:pPr>
        <w:jc w:val="both"/>
        <w:rPr>
          <w:rFonts w:ascii="Arial" w:hAnsi="Arial"/>
        </w:rPr>
      </w:pPr>
      <w:r>
        <w:rPr>
          <w:rFonts w:ascii="Arial" w:hAnsi="Arial"/>
        </w:rPr>
        <w:t>Inclure dans le chapitre sur les droits fondamentaux le droit suivant.</w:t>
      </w:r>
    </w:p>
    <w:p w14:paraId="5C1BA44D" w14:textId="77777777" w:rsidR="008A1EE0" w:rsidRDefault="008A1EE0" w:rsidP="00DB71C4">
      <w:pPr>
        <w:jc w:val="both"/>
        <w:rPr>
          <w:rFonts w:ascii="Arial" w:hAnsi="Arial"/>
        </w:rPr>
      </w:pPr>
    </w:p>
    <w:p w14:paraId="3A6D97F4" w14:textId="46F51573" w:rsidR="00402737" w:rsidRDefault="00402737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« Toute pe</w:t>
      </w:r>
      <w:r w:rsidR="00045697">
        <w:rPr>
          <w:rFonts w:ascii="Arial" w:hAnsi="Arial"/>
          <w:b/>
        </w:rPr>
        <w:t>rsonne a droit à l’information</w:t>
      </w:r>
      <w:r w:rsidR="001F7E68">
        <w:rPr>
          <w:rFonts w:ascii="Arial" w:hAnsi="Arial"/>
          <w:b/>
        </w:rPr>
        <w:t xml:space="preserve">, sous réserve de </w:t>
      </w:r>
      <w:r w:rsidR="00DB71C4">
        <w:rPr>
          <w:rFonts w:ascii="Arial" w:hAnsi="Arial"/>
          <w:b/>
        </w:rPr>
        <w:t>l’</w:t>
      </w:r>
      <w:r w:rsidR="007B57D8">
        <w:rPr>
          <w:rFonts w:ascii="Arial" w:hAnsi="Arial"/>
          <w:b/>
        </w:rPr>
        <w:t>existence d’un préjudice réel pour une des pa</w:t>
      </w:r>
      <w:r w:rsidR="00DB71C4">
        <w:rPr>
          <w:rFonts w:ascii="Arial" w:hAnsi="Arial"/>
          <w:b/>
        </w:rPr>
        <w:t xml:space="preserve">rties du fait de la </w:t>
      </w:r>
      <w:r w:rsidR="00706707">
        <w:rPr>
          <w:rFonts w:ascii="Arial" w:hAnsi="Arial"/>
          <w:b/>
        </w:rPr>
        <w:t xml:space="preserve">divulgation. </w:t>
      </w:r>
      <w:r w:rsidR="00662E2D">
        <w:rPr>
          <w:rFonts w:ascii="Arial" w:hAnsi="Arial"/>
          <w:b/>
        </w:rPr>
        <w:t>L</w:t>
      </w:r>
      <w:r w:rsidR="00706707">
        <w:rPr>
          <w:rFonts w:ascii="Arial" w:hAnsi="Arial"/>
          <w:b/>
        </w:rPr>
        <w:t xml:space="preserve">a présence </w:t>
      </w:r>
      <w:r w:rsidR="00DB71C4">
        <w:rPr>
          <w:rFonts w:ascii="Arial" w:hAnsi="Arial"/>
          <w:b/>
        </w:rPr>
        <w:t xml:space="preserve">d’un intérêt public </w:t>
      </w:r>
      <w:r w:rsidR="00706707">
        <w:rPr>
          <w:rFonts w:ascii="Arial" w:hAnsi="Arial"/>
          <w:b/>
        </w:rPr>
        <w:t xml:space="preserve">à la </w:t>
      </w:r>
      <w:r w:rsidR="00DB71C4">
        <w:rPr>
          <w:rFonts w:ascii="Arial" w:hAnsi="Arial"/>
          <w:b/>
        </w:rPr>
        <w:t>divulgation</w:t>
      </w:r>
      <w:r w:rsidR="00662E2D">
        <w:rPr>
          <w:rFonts w:ascii="Arial" w:hAnsi="Arial"/>
          <w:b/>
        </w:rPr>
        <w:t xml:space="preserve"> a toutefois préséance sur toute autre considération visant à restreindre l’accès à l’information.</w:t>
      </w:r>
    </w:p>
    <w:p w14:paraId="2B7AFF15" w14:textId="77777777" w:rsidR="008A1EE0" w:rsidRDefault="008A1EE0" w:rsidP="00DB71C4">
      <w:pPr>
        <w:jc w:val="both"/>
        <w:rPr>
          <w:rFonts w:ascii="Arial" w:hAnsi="Arial"/>
          <w:b/>
        </w:rPr>
      </w:pPr>
    </w:p>
    <w:p w14:paraId="196B3885" w14:textId="0787428F" w:rsidR="00DB71C4" w:rsidRPr="00402737" w:rsidRDefault="00DB71C4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Il n’y a aucune restriction admissible à l’accès à l’information touchant à l’environnement, le terme </w:t>
      </w:r>
      <w:r w:rsidR="0082228B">
        <w:rPr>
          <w:rFonts w:ascii="Arial" w:hAnsi="Arial"/>
          <w:b/>
        </w:rPr>
        <w:t>“</w:t>
      </w:r>
      <w:r>
        <w:rPr>
          <w:rFonts w:ascii="Arial" w:hAnsi="Arial"/>
          <w:b/>
        </w:rPr>
        <w:t>environnement</w:t>
      </w:r>
      <w:r w:rsidR="0082228B">
        <w:rPr>
          <w:rFonts w:ascii="Arial" w:hAnsi="Arial"/>
          <w:b/>
        </w:rPr>
        <w:t>”</w:t>
      </w:r>
      <w:r>
        <w:rPr>
          <w:rFonts w:ascii="Arial" w:hAnsi="Arial"/>
          <w:b/>
        </w:rPr>
        <w:t xml:space="preserve"> incluant tou</w:t>
      </w:r>
      <w:r w:rsidR="0082228B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les facteurs qui peuvent avoir une influence sur l’état de santé, la sécurité et les conditions de vie des êtres humains. »</w:t>
      </w:r>
    </w:p>
    <w:p w14:paraId="416407BB" w14:textId="77777777" w:rsidR="0091120E" w:rsidRDefault="0091120E" w:rsidP="00DB71C4">
      <w:pPr>
        <w:jc w:val="both"/>
      </w:pPr>
    </w:p>
    <w:p w14:paraId="5DB7EB09" w14:textId="086E7A23" w:rsidR="00A71DA2" w:rsidRDefault="005726A2" w:rsidP="00DB71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EXPLICATION</w:t>
      </w:r>
    </w:p>
    <w:p w14:paraId="1430F3F7" w14:textId="77777777" w:rsidR="005726A2" w:rsidRDefault="005726A2" w:rsidP="00DB71C4">
      <w:pPr>
        <w:jc w:val="both"/>
        <w:rPr>
          <w:rFonts w:ascii="Arial" w:hAnsi="Arial" w:cs="Arial"/>
          <w:b/>
        </w:rPr>
      </w:pPr>
    </w:p>
    <w:p w14:paraId="23E321E5" w14:textId="0488E51F" w:rsidR="0071150C" w:rsidRPr="0071150C" w:rsidRDefault="0071150C" w:rsidP="00DB71C4">
      <w:pPr>
        <w:jc w:val="both"/>
        <w:rPr>
          <w:rFonts w:ascii="Arial" w:hAnsi="Arial" w:cs="Arial"/>
          <w:b/>
        </w:rPr>
      </w:pPr>
      <w:r w:rsidRPr="0071150C">
        <w:rPr>
          <w:rFonts w:ascii="Arial" w:hAnsi="Arial" w:cs="Arial"/>
          <w:b/>
        </w:rPr>
        <w:t xml:space="preserve">Mettre fin à l’arbitraire et </w:t>
      </w:r>
      <w:r w:rsidR="0082228B">
        <w:rPr>
          <w:rFonts w:ascii="Arial" w:hAnsi="Arial" w:cs="Arial"/>
          <w:b/>
        </w:rPr>
        <w:t xml:space="preserve">au secret indu </w:t>
      </w:r>
      <w:r>
        <w:rPr>
          <w:rFonts w:ascii="Arial" w:hAnsi="Arial" w:cs="Arial"/>
          <w:b/>
        </w:rPr>
        <w:t>en matière d’accès à l’information</w:t>
      </w:r>
      <w:r w:rsidRPr="0071150C">
        <w:rPr>
          <w:rFonts w:ascii="Arial" w:hAnsi="Arial" w:cs="Arial"/>
          <w:b/>
        </w:rPr>
        <w:t xml:space="preserve"> </w:t>
      </w:r>
    </w:p>
    <w:p w14:paraId="081B4585" w14:textId="77777777" w:rsidR="0071150C" w:rsidRDefault="0071150C" w:rsidP="00DB71C4">
      <w:pPr>
        <w:jc w:val="both"/>
        <w:rPr>
          <w:rFonts w:ascii="Arial" w:hAnsi="Arial" w:cs="Arial"/>
        </w:rPr>
      </w:pPr>
    </w:p>
    <w:p w14:paraId="73C09B8C" w14:textId="3290D6AF" w:rsidR="00A71DA2" w:rsidRDefault="006B6BEA" w:rsidP="00DB7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82228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inclusion du droit à l’information dans la constitution donnerait à </w:t>
      </w:r>
      <w:r w:rsidRPr="006B6BEA">
        <w:rPr>
          <w:rFonts w:ascii="Arial" w:hAnsi="Arial" w:cs="Arial"/>
        </w:rPr>
        <w:t>ce droit une valeur prépondérante</w:t>
      </w:r>
      <w:r w:rsidRPr="006B6BEA">
        <w:rPr>
          <w:rFonts w:ascii="Arial" w:hAnsi="Arial" w:cs="Arial"/>
          <w:position w:val="13"/>
        </w:rPr>
        <w:t xml:space="preserve"> </w:t>
      </w:r>
      <w:r w:rsidRPr="006B6BEA">
        <w:rPr>
          <w:rFonts w:ascii="Arial" w:hAnsi="Arial" w:cs="Arial"/>
        </w:rPr>
        <w:t>sur toutes les lois du Québec</w:t>
      </w:r>
      <w:r>
        <w:rPr>
          <w:rFonts w:ascii="Arial" w:hAnsi="Arial" w:cs="Arial"/>
        </w:rPr>
        <w:t>, ce qui n’est pas le cas actuellement</w:t>
      </w:r>
      <w:r w:rsidRPr="006B6BEA">
        <w:rPr>
          <w:rFonts w:ascii="Arial" w:hAnsi="Arial" w:cs="Arial"/>
        </w:rPr>
        <w:t>.</w:t>
      </w:r>
      <w:r w:rsidR="00546546">
        <w:rPr>
          <w:rFonts w:ascii="Arial" w:hAnsi="Arial" w:cs="Arial"/>
        </w:rPr>
        <w:t xml:space="preserve"> En effet, l’</w:t>
      </w:r>
      <w:r>
        <w:rPr>
          <w:rFonts w:ascii="Arial" w:hAnsi="Arial" w:cs="Arial"/>
        </w:rPr>
        <w:t>ar</w:t>
      </w:r>
      <w:r w:rsidR="001B3971">
        <w:rPr>
          <w:rFonts w:ascii="Arial" w:hAnsi="Arial" w:cs="Arial"/>
        </w:rPr>
        <w:t>ticle</w:t>
      </w:r>
      <w:r w:rsidR="0082228B">
        <w:rPr>
          <w:rFonts w:ascii="Arial" w:hAnsi="Arial" w:cs="Arial"/>
        </w:rPr>
        <w:t> </w:t>
      </w:r>
      <w:r w:rsidR="001B3971">
        <w:rPr>
          <w:rFonts w:ascii="Arial" w:hAnsi="Arial" w:cs="Arial"/>
        </w:rPr>
        <w:t xml:space="preserve">44 de la </w:t>
      </w:r>
      <w:r w:rsidR="001B3971" w:rsidRPr="00953447">
        <w:rPr>
          <w:rFonts w:ascii="Arial" w:hAnsi="Arial" w:cs="Arial"/>
          <w:i/>
        </w:rPr>
        <w:t xml:space="preserve">Charte québécoise des droits et libertés </w:t>
      </w:r>
      <w:r w:rsidR="001B3971">
        <w:rPr>
          <w:rFonts w:ascii="Arial" w:hAnsi="Arial" w:cs="Arial"/>
        </w:rPr>
        <w:t>garantit le droit à l’information, mais avec une restriction qui en pratique nie l’exercice de ce droit </w:t>
      </w:r>
      <w:r w:rsidR="002C35D9">
        <w:rPr>
          <w:rFonts w:ascii="Arial" w:hAnsi="Arial" w:cs="Arial"/>
        </w:rPr>
        <w:t>dans une foule de domaines</w:t>
      </w:r>
      <w:r w:rsidR="0082228B">
        <w:rPr>
          <w:rFonts w:ascii="Arial" w:hAnsi="Arial" w:cs="Arial"/>
        </w:rPr>
        <w:t> </w:t>
      </w:r>
      <w:r w:rsidR="001B3971">
        <w:rPr>
          <w:rFonts w:ascii="Arial" w:hAnsi="Arial" w:cs="Arial"/>
        </w:rPr>
        <w:t xml:space="preserve">: </w:t>
      </w:r>
      <w:r w:rsidR="00EB7D2B">
        <w:rPr>
          <w:rFonts w:ascii="Arial" w:hAnsi="Arial" w:cs="Arial"/>
        </w:rPr>
        <w:t>« </w:t>
      </w:r>
      <w:r w:rsidR="001B3971" w:rsidRPr="001B3971">
        <w:rPr>
          <w:rFonts w:ascii="Arial" w:hAnsi="Arial" w:cs="Arial"/>
          <w:i/>
        </w:rPr>
        <w:t>Toute personne a droit à l’information, dans la mesure prévue par la loi</w:t>
      </w:r>
      <w:r w:rsidR="00EB7D2B">
        <w:rPr>
          <w:rFonts w:ascii="Arial" w:hAnsi="Arial" w:cs="Arial"/>
          <w:i/>
        </w:rPr>
        <w:t> »</w:t>
      </w:r>
      <w:r w:rsidR="002C35D9">
        <w:rPr>
          <w:rFonts w:ascii="Arial" w:hAnsi="Arial" w:cs="Arial"/>
        </w:rPr>
        <w:t>.</w:t>
      </w:r>
      <w:r w:rsidR="001B3971">
        <w:rPr>
          <w:rFonts w:ascii="Arial" w:hAnsi="Arial" w:cs="Arial"/>
        </w:rPr>
        <w:t xml:space="preserve"> </w:t>
      </w:r>
      <w:r w:rsidR="0071150C">
        <w:rPr>
          <w:rFonts w:ascii="Arial" w:hAnsi="Arial" w:cs="Arial"/>
        </w:rPr>
        <w:t>En clair : tout est public, sauf ce que le gouvernement et le</w:t>
      </w:r>
      <w:r w:rsidR="00953447">
        <w:rPr>
          <w:rFonts w:ascii="Arial" w:hAnsi="Arial" w:cs="Arial"/>
        </w:rPr>
        <w:t xml:space="preserve"> législateur ont décidé de </w:t>
      </w:r>
      <w:r w:rsidR="0071150C">
        <w:rPr>
          <w:rFonts w:ascii="Arial" w:hAnsi="Arial" w:cs="Arial"/>
        </w:rPr>
        <w:t>cacher.</w:t>
      </w:r>
    </w:p>
    <w:p w14:paraId="2D54036E" w14:textId="77777777" w:rsidR="00546546" w:rsidRDefault="00546546" w:rsidP="00DB71C4">
      <w:pPr>
        <w:jc w:val="both"/>
        <w:rPr>
          <w:rFonts w:ascii="Arial" w:hAnsi="Arial" w:cs="Arial"/>
        </w:rPr>
      </w:pPr>
    </w:p>
    <w:p w14:paraId="0B144D99" w14:textId="1B117962" w:rsidR="00546546" w:rsidRDefault="00546546" w:rsidP="00DB7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Ainsi, les lois actuelles contiennent 150 dérogations différentes au principe de la liberté de l’information.</w:t>
      </w:r>
      <w:r w:rsidR="00357435">
        <w:rPr>
          <w:rFonts w:ascii="Arial" w:hAnsi="Arial" w:cs="Arial"/>
        </w:rPr>
        <w:t xml:space="preserve"> Quelques exemples. </w:t>
      </w:r>
      <w:r w:rsidR="007C761F">
        <w:rPr>
          <w:rFonts w:ascii="Arial" w:hAnsi="Arial" w:cs="Arial"/>
        </w:rPr>
        <w:t xml:space="preserve">Les renseignements fournis par des tiers ou liés aux relations avec d’autres gouvernements sont frappés du </w:t>
      </w:r>
      <w:r w:rsidR="0071150C">
        <w:rPr>
          <w:rFonts w:ascii="Arial" w:hAnsi="Arial" w:cs="Arial"/>
        </w:rPr>
        <w:t xml:space="preserve">sceau du </w:t>
      </w:r>
      <w:r w:rsidR="007C761F">
        <w:rPr>
          <w:rFonts w:ascii="Arial" w:hAnsi="Arial" w:cs="Arial"/>
        </w:rPr>
        <w:t>secret. Également, l</w:t>
      </w:r>
      <w:r>
        <w:rPr>
          <w:rFonts w:ascii="Arial" w:hAnsi="Arial" w:cs="Arial"/>
        </w:rPr>
        <w:t xml:space="preserve">e secret commercial </w:t>
      </w:r>
      <w:r w:rsidR="00CC75B9">
        <w:rPr>
          <w:rFonts w:ascii="Arial" w:hAnsi="Arial" w:cs="Arial"/>
        </w:rPr>
        <w:t xml:space="preserve">est une des raisons qui permet la non-divulgation. Il </w:t>
      </w:r>
      <w:r>
        <w:rPr>
          <w:rFonts w:ascii="Arial" w:hAnsi="Arial" w:cs="Arial"/>
        </w:rPr>
        <w:t xml:space="preserve">empêche de savoir quels sont les produits chimiques insérés dans les nappes d’eau par </w:t>
      </w:r>
      <w:r w:rsidR="008F42B8">
        <w:rPr>
          <w:rFonts w:ascii="Arial" w:hAnsi="Arial" w:cs="Arial"/>
        </w:rPr>
        <w:t xml:space="preserve">l’Industrie </w:t>
      </w:r>
      <w:r>
        <w:rPr>
          <w:rFonts w:ascii="Arial" w:hAnsi="Arial" w:cs="Arial"/>
        </w:rPr>
        <w:t>pétrolière</w:t>
      </w:r>
      <w:r w:rsidR="00231637">
        <w:rPr>
          <w:rFonts w:ascii="Arial" w:hAnsi="Arial" w:cs="Arial"/>
        </w:rPr>
        <w:t xml:space="preserve"> ou quel est</w:t>
      </w:r>
      <w:r>
        <w:rPr>
          <w:rFonts w:ascii="Arial" w:hAnsi="Arial" w:cs="Arial"/>
        </w:rPr>
        <w:t xml:space="preserve"> </w:t>
      </w:r>
      <w:r w:rsidR="00231637">
        <w:rPr>
          <w:rFonts w:ascii="Arial" w:hAnsi="Arial" w:cs="Arial"/>
        </w:rPr>
        <w:t xml:space="preserve">le contenu des ententes entre le gouvernement et les industries pharmaceutiques sur les médicaments remboursés par la RAMQ. </w:t>
      </w:r>
      <w:r w:rsidR="007C761F">
        <w:rPr>
          <w:rFonts w:ascii="Arial" w:hAnsi="Arial" w:cs="Arial"/>
        </w:rPr>
        <w:t>Autre astuce utilisée de plus en plus par les bureaucrates et les politiciens</w:t>
      </w:r>
      <w:r w:rsidR="00CC75B9">
        <w:rPr>
          <w:rFonts w:ascii="Arial" w:hAnsi="Arial" w:cs="Arial"/>
        </w:rPr>
        <w:t xml:space="preserve"> pour justifier l’omertà, </w:t>
      </w:r>
      <w:r w:rsidR="007C761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présence d’un avocat dans la liste des destinataires d’</w:t>
      </w:r>
      <w:r w:rsidR="00231637">
        <w:rPr>
          <w:rFonts w:ascii="Arial" w:hAnsi="Arial" w:cs="Arial"/>
        </w:rPr>
        <w:t>un document émis par une adminis</w:t>
      </w:r>
      <w:r>
        <w:rPr>
          <w:rFonts w:ascii="Arial" w:hAnsi="Arial" w:cs="Arial"/>
        </w:rPr>
        <w:t xml:space="preserve">tration permet d’invoquer le secret </w:t>
      </w:r>
      <w:r w:rsidR="002B6E6A">
        <w:rPr>
          <w:rFonts w:ascii="Arial" w:hAnsi="Arial" w:cs="Arial"/>
        </w:rPr>
        <w:t xml:space="preserve">professionnel accordé aux </w:t>
      </w:r>
      <w:r>
        <w:rPr>
          <w:rFonts w:ascii="Arial" w:hAnsi="Arial" w:cs="Arial"/>
        </w:rPr>
        <w:t>membres du Barreau p</w:t>
      </w:r>
      <w:r w:rsidR="00357435">
        <w:rPr>
          <w:rFonts w:ascii="Arial" w:hAnsi="Arial" w:cs="Arial"/>
        </w:rPr>
        <w:t xml:space="preserve">our en empêcher la divulgation. </w:t>
      </w:r>
      <w:r w:rsidR="007C761F" w:rsidRPr="007C761F">
        <w:rPr>
          <w:rFonts w:ascii="Arial" w:hAnsi="Arial" w:cs="Arial"/>
        </w:rPr>
        <w:t>Également, la loi exempte de toute divulgation les documents émanant d’un membre de l’Assemblée nationale, du cabinet, d’</w:t>
      </w:r>
      <w:r w:rsidR="007C761F">
        <w:rPr>
          <w:rFonts w:ascii="Arial" w:hAnsi="Arial" w:cs="Arial"/>
        </w:rPr>
        <w:t>une commission scolaire ou d’un</w:t>
      </w:r>
      <w:r w:rsidR="007C761F" w:rsidRPr="007C761F">
        <w:rPr>
          <w:rFonts w:ascii="Arial" w:hAnsi="Arial" w:cs="Arial"/>
        </w:rPr>
        <w:t xml:space="preserve"> organe municipal </w:t>
      </w:r>
      <w:r w:rsidR="007C761F">
        <w:rPr>
          <w:rFonts w:ascii="Arial" w:hAnsi="Arial" w:cs="Arial"/>
        </w:rPr>
        <w:t xml:space="preserve">ainsi que des membres </w:t>
      </w:r>
      <w:r w:rsidR="007C761F" w:rsidRPr="007C761F">
        <w:rPr>
          <w:rFonts w:ascii="Arial" w:hAnsi="Arial" w:cs="Arial"/>
        </w:rPr>
        <w:t>de leur</w:t>
      </w:r>
      <w:r w:rsidR="007C761F">
        <w:rPr>
          <w:rFonts w:ascii="Arial" w:hAnsi="Arial" w:cs="Arial"/>
        </w:rPr>
        <w:t>s</w:t>
      </w:r>
      <w:r w:rsidR="007C761F" w:rsidRPr="007C761F">
        <w:rPr>
          <w:rFonts w:ascii="Arial" w:hAnsi="Arial" w:cs="Arial"/>
        </w:rPr>
        <w:t xml:space="preserve"> équipe</w:t>
      </w:r>
      <w:r w:rsidR="007C761F">
        <w:rPr>
          <w:rFonts w:ascii="Arial" w:hAnsi="Arial" w:cs="Arial"/>
        </w:rPr>
        <w:t>s</w:t>
      </w:r>
      <w:r w:rsidR="007C761F" w:rsidRPr="007C761F">
        <w:rPr>
          <w:rFonts w:ascii="Arial" w:hAnsi="Arial" w:cs="Arial"/>
        </w:rPr>
        <w:t>.</w:t>
      </w:r>
      <w:r w:rsidR="007C761F">
        <w:rPr>
          <w:rFonts w:ascii="Arial" w:hAnsi="Arial" w:cs="Arial"/>
        </w:rPr>
        <w:t xml:space="preserve"> </w:t>
      </w:r>
      <w:r w:rsidR="006B3B68">
        <w:rPr>
          <w:rFonts w:ascii="Arial" w:hAnsi="Arial" w:cs="Arial"/>
        </w:rPr>
        <w:t xml:space="preserve">Les sociétés de la couronne comme Hydro-Québec ne sont pas soumises à </w:t>
      </w:r>
      <w:r w:rsidR="00E34062">
        <w:rPr>
          <w:rFonts w:ascii="Arial" w:hAnsi="Arial" w:cs="Arial"/>
        </w:rPr>
        <w:t>loi sur l’accès à l’information</w:t>
      </w:r>
      <w:r w:rsidR="006B3B68">
        <w:rPr>
          <w:rFonts w:ascii="Arial" w:hAnsi="Arial" w:cs="Arial"/>
        </w:rPr>
        <w:t>, etc.</w:t>
      </w:r>
    </w:p>
    <w:p w14:paraId="0C5649FE" w14:textId="77777777" w:rsidR="0071150C" w:rsidRDefault="0071150C" w:rsidP="00DB71C4">
      <w:pPr>
        <w:jc w:val="both"/>
        <w:rPr>
          <w:rFonts w:ascii="Arial" w:hAnsi="Arial" w:cs="Arial"/>
        </w:rPr>
      </w:pPr>
    </w:p>
    <w:p w14:paraId="41781B31" w14:textId="5BC2379B" w:rsidR="0071150C" w:rsidRDefault="0071150C" w:rsidP="00DB71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double test de l’intérêt public et du </w:t>
      </w:r>
      <w:r w:rsidR="008A1EE0">
        <w:rPr>
          <w:rFonts w:ascii="Arial" w:hAnsi="Arial" w:cs="Arial"/>
          <w:b/>
        </w:rPr>
        <w:t>préjudice à</w:t>
      </w:r>
      <w:r>
        <w:rPr>
          <w:rFonts w:ascii="Arial" w:hAnsi="Arial" w:cs="Arial"/>
          <w:b/>
        </w:rPr>
        <w:t xml:space="preserve"> un tiers</w:t>
      </w:r>
    </w:p>
    <w:p w14:paraId="65613DF5" w14:textId="21AB3E0C" w:rsidR="0071150C" w:rsidRPr="0071150C" w:rsidRDefault="0071150C" w:rsidP="00DB71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295F627" w14:textId="086A6006" w:rsidR="005726A2" w:rsidRDefault="00CC75B9" w:rsidP="00DB7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Certes, l</w:t>
      </w:r>
      <w:r w:rsidR="005726A2">
        <w:rPr>
          <w:rFonts w:ascii="Arial" w:hAnsi="Arial" w:cs="Arial"/>
        </w:rPr>
        <w:t xml:space="preserve">a présence d’exemptions </w:t>
      </w:r>
      <w:r w:rsidR="006971C0">
        <w:rPr>
          <w:rFonts w:ascii="Arial" w:hAnsi="Arial" w:cs="Arial"/>
        </w:rPr>
        <w:t>à la liberté d’accès à l’information est nécessaire</w:t>
      </w:r>
      <w:r w:rsidR="00EB7D2B">
        <w:rPr>
          <w:rFonts w:ascii="Arial" w:hAnsi="Arial" w:cs="Arial"/>
        </w:rPr>
        <w:t> </w:t>
      </w:r>
      <w:r w:rsidR="006971C0">
        <w:rPr>
          <w:rFonts w:ascii="Arial" w:hAnsi="Arial" w:cs="Arial"/>
        </w:rPr>
        <w:t>;</w:t>
      </w:r>
      <w:r w:rsidR="005726A2">
        <w:rPr>
          <w:rFonts w:ascii="Arial" w:hAnsi="Arial" w:cs="Arial"/>
        </w:rPr>
        <w:t xml:space="preserve"> on doit par exemple être assuré que nos déclarations d’impôt ou nos renseignements médicaux ne se retrouve</w:t>
      </w:r>
      <w:bookmarkStart w:id="0" w:name="_GoBack"/>
      <w:bookmarkEnd w:id="0"/>
      <w:r w:rsidR="005726A2">
        <w:rPr>
          <w:rFonts w:ascii="Arial" w:hAnsi="Arial" w:cs="Arial"/>
        </w:rPr>
        <w:t xml:space="preserve">nt pas sur la place publique. Ces exemptions doivent être explicitées dans des lois et des règlements, mais il ne faut pas que cela </w:t>
      </w:r>
      <w:r w:rsidR="008A1EE0">
        <w:rPr>
          <w:rFonts w:ascii="Arial" w:hAnsi="Arial" w:cs="Arial"/>
        </w:rPr>
        <w:t>aboutisse à un</w:t>
      </w:r>
      <w:r w:rsidR="005726A2">
        <w:rPr>
          <w:rFonts w:ascii="Arial" w:hAnsi="Arial" w:cs="Arial"/>
        </w:rPr>
        <w:t xml:space="preserve"> détournement </w:t>
      </w:r>
      <w:r w:rsidR="008A1EE0">
        <w:rPr>
          <w:rFonts w:ascii="Arial" w:hAnsi="Arial" w:cs="Arial"/>
        </w:rPr>
        <w:t xml:space="preserve">massif </w:t>
      </w:r>
      <w:r w:rsidR="005726A2">
        <w:rPr>
          <w:rFonts w:ascii="Arial" w:hAnsi="Arial" w:cs="Arial"/>
        </w:rPr>
        <w:t>du principe de la liberté d</w:t>
      </w:r>
      <w:r>
        <w:rPr>
          <w:rFonts w:ascii="Arial" w:hAnsi="Arial" w:cs="Arial"/>
        </w:rPr>
        <w:t>e l</w:t>
      </w:r>
      <w:r w:rsidR="005726A2">
        <w:rPr>
          <w:rFonts w:ascii="Arial" w:hAnsi="Arial" w:cs="Arial"/>
        </w:rPr>
        <w:t>’information pour le transformer en un régime de non-accès</w:t>
      </w:r>
      <w:r w:rsidR="008A1EE0">
        <w:rPr>
          <w:rFonts w:ascii="Arial" w:hAnsi="Arial" w:cs="Arial"/>
        </w:rPr>
        <w:t xml:space="preserve"> généralisé</w:t>
      </w:r>
      <w:r w:rsidR="005726A2">
        <w:rPr>
          <w:rFonts w:ascii="Arial" w:hAnsi="Arial" w:cs="Arial"/>
        </w:rPr>
        <w:t>. C’est pourquoi il me semble essentiel que la constitution définisse en termes très clairs les critères de la divulgation et ceux du secret.</w:t>
      </w:r>
    </w:p>
    <w:p w14:paraId="32B98129" w14:textId="77777777" w:rsidR="0071150C" w:rsidRDefault="0071150C" w:rsidP="00DB71C4">
      <w:pPr>
        <w:jc w:val="both"/>
        <w:rPr>
          <w:rFonts w:ascii="Arial" w:hAnsi="Arial" w:cs="Arial"/>
        </w:rPr>
      </w:pPr>
    </w:p>
    <w:p w14:paraId="3EC5E43E" w14:textId="3763AC5E" w:rsidR="005B2E64" w:rsidRDefault="008A1EE0" w:rsidP="00DB71C4">
      <w:pPr>
        <w:jc w:val="both"/>
        <w:rPr>
          <w:rFonts w:ascii="Arial" w:hAnsi="Arial"/>
        </w:rPr>
      </w:pPr>
      <w:r>
        <w:rPr>
          <w:rFonts w:ascii="Arial" w:hAnsi="Arial" w:cs="Arial"/>
        </w:rPr>
        <w:t>La formulation adoptée dans ma proposition (</w:t>
      </w:r>
      <w:r w:rsidR="00EB7D2B">
        <w:rPr>
          <w:rFonts w:ascii="Arial" w:hAnsi="Arial" w:cs="Arial"/>
        </w:rPr>
        <w:t>« </w:t>
      </w:r>
      <w:r w:rsidR="00D33284" w:rsidRPr="00D33284">
        <w:rPr>
          <w:rFonts w:ascii="Arial" w:hAnsi="Arial"/>
          <w:i/>
        </w:rPr>
        <w:t>Toute personne a droit à l’information, sous réserve de l’existence d’un préjudice réel pour une des parties du fait de la divulgation. La présence d’un intérêt public à la divulgation a toutefois préséance sur toute autre considération visant à restreindre l’accès à l’information</w:t>
      </w:r>
      <w:r w:rsidR="00EB7D2B">
        <w:rPr>
          <w:rFonts w:ascii="Arial" w:hAnsi="Arial"/>
        </w:rPr>
        <w:t> »</w:t>
      </w:r>
      <w:r>
        <w:rPr>
          <w:rFonts w:ascii="Arial" w:hAnsi="Arial"/>
        </w:rPr>
        <w:t>) est directement inspirée d’un mémoire soumis en commission parlementaire</w:t>
      </w:r>
      <w:r w:rsidR="00372D44">
        <w:rPr>
          <w:rFonts w:ascii="Arial" w:hAnsi="Arial"/>
        </w:rPr>
        <w:t xml:space="preserve"> par un consortium d’avocats canadiens lors de l’examen des propositions gouvernementales de réforme de l’accès à l’Information, un document malheureus</w:t>
      </w:r>
      <w:r w:rsidR="005B2E64">
        <w:rPr>
          <w:rFonts w:ascii="Arial" w:hAnsi="Arial"/>
        </w:rPr>
        <w:t>e</w:t>
      </w:r>
      <w:r w:rsidR="00372D44">
        <w:rPr>
          <w:rFonts w:ascii="Arial" w:hAnsi="Arial"/>
        </w:rPr>
        <w:t>ment uniquement en anglais : Centre for Law and Democracy « Submission on access to information reform in Quebec</w:t>
      </w:r>
      <w:r w:rsidR="005B2E64">
        <w:rPr>
          <w:rFonts w:ascii="Arial" w:hAnsi="Arial"/>
        </w:rPr>
        <w:t> », août 2015.</w:t>
      </w:r>
      <w:r w:rsidR="00372D44">
        <w:rPr>
          <w:rFonts w:ascii="Arial" w:hAnsi="Arial"/>
        </w:rPr>
        <w:t xml:space="preserve"> </w:t>
      </w:r>
    </w:p>
    <w:p w14:paraId="03476791" w14:textId="36C61777" w:rsidR="00372D44" w:rsidRPr="005B2E64" w:rsidRDefault="001F7E68" w:rsidP="00DB71C4">
      <w:pPr>
        <w:jc w:val="both"/>
        <w:rPr>
          <w:rFonts w:ascii="Arial" w:hAnsi="Arial"/>
          <w:sz w:val="20"/>
          <w:szCs w:val="20"/>
        </w:rPr>
      </w:pPr>
      <w:hyperlink r:id="rId9" w:history="1">
        <w:r w:rsidR="00372D44" w:rsidRPr="005B2E64">
          <w:rPr>
            <w:rStyle w:val="Lienhypertexte"/>
            <w:rFonts w:ascii="Arial" w:hAnsi="Arial"/>
            <w:sz w:val="20"/>
            <w:szCs w:val="20"/>
          </w:rPr>
          <w:t>http://www.law-democracy.org/live/wp-</w:t>
        </w:r>
        <w:r w:rsidR="005B2E64" w:rsidRPr="005B2E64">
          <w:rPr>
            <w:rStyle w:val="Lienhypertexte"/>
            <w:rFonts w:ascii="Arial" w:hAnsi="Arial"/>
            <w:sz w:val="20"/>
            <w:szCs w:val="20"/>
          </w:rPr>
          <w:t>c</w:t>
        </w:r>
        <w:r w:rsidR="00372D44" w:rsidRPr="005B2E64">
          <w:rPr>
            <w:rStyle w:val="Lienhypertexte"/>
            <w:rFonts w:ascii="Arial" w:hAnsi="Arial"/>
            <w:sz w:val="20"/>
            <w:szCs w:val="20"/>
          </w:rPr>
          <w:t>ontent/uploads/2015/08/Canada.Quebec.RTI_.Aug15.pdf</w:t>
        </w:r>
      </w:hyperlink>
    </w:p>
    <w:p w14:paraId="2B199E0F" w14:textId="77777777" w:rsidR="00372D44" w:rsidRDefault="00372D44" w:rsidP="00DB71C4">
      <w:pPr>
        <w:jc w:val="both"/>
        <w:rPr>
          <w:rFonts w:ascii="Arial" w:hAnsi="Arial"/>
        </w:rPr>
      </w:pPr>
    </w:p>
    <w:p w14:paraId="687EF7A3" w14:textId="68723E25" w:rsidR="005B2E64" w:rsidRDefault="005B2E64" w:rsidP="00DB71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 mon libellé se retrouvait dans la constitution, la Commission d’accès à l’information du Québec et les tribunaux seraient tenus d’appliquer un double test dans tout blocage de l’information. D’abord, existe-t-il un préjudice réel pour une des parties </w:t>
      </w:r>
      <w:r w:rsidR="00A716F2">
        <w:rPr>
          <w:rFonts w:ascii="Arial" w:hAnsi="Arial"/>
        </w:rPr>
        <w:t xml:space="preserve">du fait de </w:t>
      </w:r>
      <w:r>
        <w:rPr>
          <w:rFonts w:ascii="Arial" w:hAnsi="Arial"/>
        </w:rPr>
        <w:t>la divulgation</w:t>
      </w:r>
      <w:r w:rsidR="0082228B">
        <w:rPr>
          <w:rFonts w:ascii="Arial" w:hAnsi="Arial"/>
        </w:rPr>
        <w:t> </w:t>
      </w:r>
      <w:r>
        <w:rPr>
          <w:rFonts w:ascii="Arial" w:hAnsi="Arial"/>
        </w:rPr>
        <w:t>? Il ne suffira plus de dire</w:t>
      </w:r>
      <w:r w:rsidR="00D33284">
        <w:rPr>
          <w:rFonts w:ascii="Arial" w:hAnsi="Arial"/>
        </w:rPr>
        <w:t>,</w:t>
      </w:r>
      <w:r w:rsidR="006971C0">
        <w:rPr>
          <w:rFonts w:ascii="Arial" w:hAnsi="Arial"/>
        </w:rPr>
        <w:t xml:space="preserve"> pour</w:t>
      </w:r>
      <w:r w:rsidR="00D33284">
        <w:rPr>
          <w:rFonts w:ascii="Arial" w:hAnsi="Arial"/>
        </w:rPr>
        <w:t xml:space="preserve"> justifier le rejet d’une demande d’accès</w:t>
      </w:r>
      <w:r>
        <w:rPr>
          <w:rFonts w:ascii="Arial" w:hAnsi="Arial"/>
        </w:rPr>
        <w:t>, je suis membre du personnel politique d’un ministre ou je suis une société de la couronne</w:t>
      </w:r>
      <w:r w:rsidR="00EB7D2B">
        <w:rPr>
          <w:rFonts w:ascii="Arial" w:hAnsi="Arial"/>
        </w:rPr>
        <w:t> </w:t>
      </w:r>
      <w:r w:rsidR="006971C0">
        <w:rPr>
          <w:rFonts w:ascii="Arial" w:hAnsi="Arial"/>
        </w:rPr>
        <w:t>;</w:t>
      </w:r>
      <w:r>
        <w:rPr>
          <w:rFonts w:ascii="Arial" w:hAnsi="Arial"/>
        </w:rPr>
        <w:t xml:space="preserve"> la partie </w:t>
      </w:r>
      <w:r w:rsidR="006971C0">
        <w:rPr>
          <w:rFonts w:ascii="Arial" w:hAnsi="Arial"/>
        </w:rPr>
        <w:t xml:space="preserve">invoquant le </w:t>
      </w:r>
      <w:r>
        <w:rPr>
          <w:rFonts w:ascii="Arial" w:hAnsi="Arial"/>
        </w:rPr>
        <w:t>secret aura le fardeau de l</w:t>
      </w:r>
      <w:r w:rsidR="00C2623F">
        <w:rPr>
          <w:rFonts w:ascii="Arial" w:hAnsi="Arial"/>
        </w:rPr>
        <w:t xml:space="preserve">a preuve </w:t>
      </w:r>
      <w:r w:rsidR="006971C0">
        <w:rPr>
          <w:rFonts w:ascii="Arial" w:hAnsi="Arial"/>
        </w:rPr>
        <w:t xml:space="preserve">et elle devra </w:t>
      </w:r>
      <w:r w:rsidR="00A716F2">
        <w:rPr>
          <w:rFonts w:ascii="Arial" w:hAnsi="Arial"/>
        </w:rPr>
        <w:t xml:space="preserve">établir </w:t>
      </w:r>
      <w:r w:rsidR="00C2623F">
        <w:rPr>
          <w:rFonts w:ascii="Arial" w:hAnsi="Arial"/>
        </w:rPr>
        <w:t>qu’il y a un pr</w:t>
      </w:r>
      <w:r>
        <w:rPr>
          <w:rFonts w:ascii="Arial" w:hAnsi="Arial"/>
        </w:rPr>
        <w:t>éj</w:t>
      </w:r>
      <w:r w:rsidR="00C2623F">
        <w:rPr>
          <w:rFonts w:ascii="Arial" w:hAnsi="Arial"/>
        </w:rPr>
        <w:t>u</w:t>
      </w:r>
      <w:r>
        <w:rPr>
          <w:rFonts w:ascii="Arial" w:hAnsi="Arial"/>
        </w:rPr>
        <w:t>dice</w:t>
      </w:r>
      <w:r w:rsidR="00C2623F">
        <w:rPr>
          <w:rFonts w:ascii="Arial" w:hAnsi="Arial"/>
        </w:rPr>
        <w:t xml:space="preserve"> réel</w:t>
      </w:r>
      <w:r>
        <w:rPr>
          <w:rFonts w:ascii="Arial" w:hAnsi="Arial"/>
        </w:rPr>
        <w:t xml:space="preserve">. </w:t>
      </w:r>
      <w:r w:rsidR="00A716F2">
        <w:rPr>
          <w:rFonts w:ascii="Arial" w:hAnsi="Arial"/>
        </w:rPr>
        <w:t xml:space="preserve">Deuxième partie de ce double test, </w:t>
      </w:r>
      <w:r w:rsidR="00C2623F">
        <w:rPr>
          <w:rFonts w:ascii="Arial" w:hAnsi="Arial"/>
        </w:rPr>
        <w:t xml:space="preserve">même si ce préjudice est réel, </w:t>
      </w:r>
      <w:r w:rsidR="00A716F2">
        <w:rPr>
          <w:rFonts w:ascii="Arial" w:hAnsi="Arial"/>
        </w:rPr>
        <w:t xml:space="preserve">existe-t-il un intérêt public à </w:t>
      </w:r>
      <w:r w:rsidR="00C2623F">
        <w:rPr>
          <w:rFonts w:ascii="Arial" w:hAnsi="Arial"/>
        </w:rPr>
        <w:t xml:space="preserve">la divulgation </w:t>
      </w:r>
      <w:r w:rsidR="00A716F2">
        <w:rPr>
          <w:rFonts w:ascii="Arial" w:hAnsi="Arial"/>
        </w:rPr>
        <w:t>supérieur au préjudice invoqué</w:t>
      </w:r>
      <w:r w:rsidR="00EB7D2B">
        <w:rPr>
          <w:rFonts w:ascii="Arial" w:hAnsi="Arial"/>
        </w:rPr>
        <w:t> </w:t>
      </w:r>
      <w:r w:rsidR="00A716F2">
        <w:rPr>
          <w:rFonts w:ascii="Arial" w:hAnsi="Arial"/>
        </w:rPr>
        <w:t xml:space="preserve">? Si la réponse est oui, </w:t>
      </w:r>
      <w:r w:rsidR="00C2623F">
        <w:rPr>
          <w:rFonts w:ascii="Arial" w:hAnsi="Arial"/>
        </w:rPr>
        <w:t xml:space="preserve">l’arbitre (la Commission ou un juge) </w:t>
      </w:r>
      <w:r w:rsidR="006971C0">
        <w:rPr>
          <w:rFonts w:ascii="Arial" w:hAnsi="Arial"/>
        </w:rPr>
        <w:t>autorisera l’accès à l’information.</w:t>
      </w:r>
    </w:p>
    <w:p w14:paraId="6E59F171" w14:textId="77777777" w:rsidR="00C2623F" w:rsidRDefault="00C2623F" w:rsidP="00DB71C4">
      <w:pPr>
        <w:jc w:val="both"/>
        <w:rPr>
          <w:rFonts w:ascii="Arial" w:hAnsi="Arial"/>
        </w:rPr>
      </w:pPr>
    </w:p>
    <w:p w14:paraId="0B9063AE" w14:textId="096225E1" w:rsidR="00C2623F" w:rsidRDefault="00C2623F" w:rsidP="00DB71C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L’accès à l’information sur les questions environnementales</w:t>
      </w:r>
    </w:p>
    <w:p w14:paraId="389704E2" w14:textId="77777777" w:rsidR="00D8577A" w:rsidRDefault="00D8577A" w:rsidP="00DB71C4">
      <w:pPr>
        <w:jc w:val="both"/>
        <w:rPr>
          <w:rFonts w:ascii="Arial" w:hAnsi="Arial"/>
          <w:b/>
        </w:rPr>
      </w:pPr>
    </w:p>
    <w:p w14:paraId="119CC2C9" w14:textId="03A6CB51" w:rsidR="0071150C" w:rsidRDefault="00D8577A" w:rsidP="00DB71C4">
      <w:pPr>
        <w:jc w:val="both"/>
        <w:rPr>
          <w:rFonts w:ascii="Arial" w:hAnsi="Arial" w:cs="Arial"/>
        </w:rPr>
      </w:pPr>
      <w:r w:rsidRPr="00D8577A">
        <w:rPr>
          <w:rFonts w:ascii="Arial" w:hAnsi="Arial"/>
        </w:rPr>
        <w:t>La deuxième partie de ma proposition</w:t>
      </w:r>
      <w:r>
        <w:rPr>
          <w:rFonts w:ascii="Arial" w:hAnsi="Arial"/>
        </w:rPr>
        <w:t xml:space="preserve"> </w:t>
      </w:r>
      <w:r w:rsidR="00034D51">
        <w:rPr>
          <w:rFonts w:ascii="Arial" w:hAnsi="Arial"/>
        </w:rPr>
        <w:t>(</w:t>
      </w:r>
      <w:r w:rsidR="00EB7D2B">
        <w:rPr>
          <w:rFonts w:ascii="Arial" w:hAnsi="Arial"/>
        </w:rPr>
        <w:t>« </w:t>
      </w:r>
      <w:r w:rsidR="00034D51">
        <w:rPr>
          <w:rFonts w:ascii="Arial" w:hAnsi="Arial"/>
          <w:i/>
        </w:rPr>
        <w:t>i</w:t>
      </w:r>
      <w:r w:rsidR="00034D51" w:rsidRPr="00034D51">
        <w:rPr>
          <w:rFonts w:ascii="Arial" w:hAnsi="Arial"/>
          <w:i/>
        </w:rPr>
        <w:t xml:space="preserve">l n’y a aucune restriction admissible à l’accès à l’information touchant à l’environnement, le terme </w:t>
      </w:r>
      <w:r w:rsidR="00EB7D2B">
        <w:rPr>
          <w:rFonts w:ascii="Arial" w:hAnsi="Arial"/>
          <w:i/>
        </w:rPr>
        <w:t>“</w:t>
      </w:r>
      <w:r w:rsidR="00034D51" w:rsidRPr="00034D51">
        <w:rPr>
          <w:rFonts w:ascii="Arial" w:hAnsi="Arial"/>
          <w:i/>
        </w:rPr>
        <w:t>environnement</w:t>
      </w:r>
      <w:r w:rsidR="00EB7D2B">
        <w:rPr>
          <w:rFonts w:ascii="Arial" w:hAnsi="Arial"/>
          <w:i/>
        </w:rPr>
        <w:t>”</w:t>
      </w:r>
      <w:r w:rsidR="00034D51" w:rsidRPr="00034D51">
        <w:rPr>
          <w:rFonts w:ascii="Arial" w:hAnsi="Arial"/>
          <w:i/>
        </w:rPr>
        <w:t xml:space="preserve"> incluant tou</w:t>
      </w:r>
      <w:r w:rsidR="0082228B">
        <w:rPr>
          <w:rFonts w:ascii="Arial" w:hAnsi="Arial"/>
          <w:i/>
        </w:rPr>
        <w:t>s</w:t>
      </w:r>
      <w:r w:rsidR="00034D51" w:rsidRPr="00034D51">
        <w:rPr>
          <w:rFonts w:ascii="Arial" w:hAnsi="Arial"/>
          <w:i/>
        </w:rPr>
        <w:t xml:space="preserve"> les facteurs qui peuvent avoir une influence sur l’état de santé, la sécurité et les conditions de vie des êtres humains</w:t>
      </w:r>
      <w:r w:rsidR="00EB7D2B">
        <w:rPr>
          <w:rFonts w:ascii="Arial" w:hAnsi="Arial"/>
        </w:rPr>
        <w:t> »</w:t>
      </w:r>
      <w:r w:rsidR="00034D51">
        <w:rPr>
          <w:rFonts w:ascii="Arial" w:hAnsi="Arial"/>
        </w:rPr>
        <w:t xml:space="preserve">) </w:t>
      </w:r>
      <w:r>
        <w:rPr>
          <w:rFonts w:ascii="Arial" w:hAnsi="Arial"/>
        </w:rPr>
        <w:t xml:space="preserve">est directement inspirée de la </w:t>
      </w:r>
      <w:r w:rsidR="0002667E" w:rsidRPr="00034D51">
        <w:rPr>
          <w:rFonts w:ascii="Arial" w:eastAsia="Times New Roman" w:hAnsi="Arial" w:cs="Arial"/>
          <w:i/>
        </w:rPr>
        <w:t>C</w:t>
      </w:r>
      <w:r w:rsidR="0002667E" w:rsidRPr="00034D51">
        <w:rPr>
          <w:rFonts w:ascii="Arial" w:eastAsia="Times New Roman" w:hAnsi="Arial" w:cs="Arial"/>
          <w:bCs/>
          <w:i/>
        </w:rPr>
        <w:t>onvention d</w:t>
      </w:r>
      <w:r w:rsidR="0082228B">
        <w:rPr>
          <w:rFonts w:ascii="Arial" w:eastAsia="Times New Roman" w:hAnsi="Arial" w:cs="Arial"/>
          <w:bCs/>
          <w:i/>
        </w:rPr>
        <w:t>’</w:t>
      </w:r>
      <w:hyperlink r:id="rId10" w:tooltip="Aarhus" w:history="1">
        <w:r w:rsidR="0002667E" w:rsidRPr="00034D51">
          <w:rPr>
            <w:rStyle w:val="Lienhypertexte"/>
            <w:rFonts w:ascii="Arial" w:eastAsia="Times New Roman" w:hAnsi="Arial" w:cs="Arial"/>
            <w:bCs/>
            <w:i/>
            <w:color w:val="auto"/>
            <w:u w:val="none"/>
          </w:rPr>
          <w:t>Aarhus</w:t>
        </w:r>
      </w:hyperlink>
      <w:r w:rsidR="0002667E" w:rsidRPr="00034D51">
        <w:rPr>
          <w:rFonts w:ascii="Arial" w:eastAsia="Times New Roman" w:hAnsi="Arial" w:cs="Arial"/>
          <w:i/>
        </w:rPr>
        <w:t xml:space="preserve"> sur l</w:t>
      </w:r>
      <w:r w:rsidR="0082228B">
        <w:rPr>
          <w:rFonts w:ascii="Arial" w:eastAsia="Times New Roman" w:hAnsi="Arial" w:cs="Arial"/>
          <w:i/>
        </w:rPr>
        <w:t>’</w:t>
      </w:r>
      <w:hyperlink r:id="rId11" w:tooltip="Droit à l'information" w:history="1">
        <w:r w:rsidR="0002667E" w:rsidRPr="00034D51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accès à l</w:t>
        </w:r>
        <w:r w:rsidR="0082228B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’</w:t>
        </w:r>
        <w:r w:rsidR="0002667E" w:rsidRPr="00034D51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information</w:t>
        </w:r>
      </w:hyperlink>
      <w:r w:rsidR="0002667E" w:rsidRPr="00034D51">
        <w:rPr>
          <w:rFonts w:ascii="Arial" w:eastAsia="Times New Roman" w:hAnsi="Arial" w:cs="Arial"/>
          <w:i/>
        </w:rPr>
        <w:t xml:space="preserve">, la </w:t>
      </w:r>
      <w:hyperlink r:id="rId12" w:tooltip="Participation (politique)" w:history="1">
        <w:r w:rsidR="0002667E" w:rsidRPr="00034D51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participation</w:t>
        </w:r>
      </w:hyperlink>
      <w:r w:rsidR="0002667E" w:rsidRPr="00034D51">
        <w:rPr>
          <w:rFonts w:ascii="Arial" w:eastAsia="Times New Roman" w:hAnsi="Arial" w:cs="Arial"/>
          <w:i/>
        </w:rPr>
        <w:t xml:space="preserve"> du public au processus </w:t>
      </w:r>
      <w:hyperlink r:id="rId13" w:tooltip="Décision" w:history="1">
        <w:r w:rsidR="0002667E" w:rsidRPr="00034D51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décisionnel</w:t>
        </w:r>
      </w:hyperlink>
      <w:r w:rsidR="0002667E" w:rsidRPr="00034D51">
        <w:rPr>
          <w:rFonts w:ascii="Arial" w:eastAsia="Times New Roman" w:hAnsi="Arial" w:cs="Arial"/>
          <w:i/>
        </w:rPr>
        <w:t xml:space="preserve"> et l</w:t>
      </w:r>
      <w:r w:rsidR="0082228B">
        <w:rPr>
          <w:rFonts w:ascii="Arial" w:eastAsia="Times New Roman" w:hAnsi="Arial" w:cs="Arial"/>
          <w:i/>
        </w:rPr>
        <w:t>’</w:t>
      </w:r>
      <w:r w:rsidR="0002667E" w:rsidRPr="00034D51">
        <w:rPr>
          <w:rFonts w:ascii="Arial" w:eastAsia="Times New Roman" w:hAnsi="Arial" w:cs="Arial"/>
          <w:i/>
        </w:rPr>
        <w:t>accès à la justice en matière d</w:t>
      </w:r>
      <w:r w:rsidR="0082228B">
        <w:rPr>
          <w:rFonts w:ascii="Arial" w:eastAsia="Times New Roman" w:hAnsi="Arial" w:cs="Arial"/>
          <w:i/>
        </w:rPr>
        <w:t>’</w:t>
      </w:r>
      <w:hyperlink r:id="rId14" w:tooltip="Environnement" w:history="1">
        <w:r w:rsidR="0002667E" w:rsidRPr="00034D51">
          <w:rPr>
            <w:rStyle w:val="Lienhypertexte"/>
            <w:rFonts w:ascii="Arial" w:eastAsia="Times New Roman" w:hAnsi="Arial" w:cs="Arial"/>
            <w:i/>
            <w:color w:val="auto"/>
            <w:u w:val="none"/>
          </w:rPr>
          <w:t>environnement</w:t>
        </w:r>
      </w:hyperlink>
      <w:r w:rsidR="007E34AB">
        <w:rPr>
          <w:rFonts w:ascii="Arial" w:eastAsia="Times New Roman" w:hAnsi="Arial" w:cs="Arial"/>
        </w:rPr>
        <w:t xml:space="preserve"> de 1998,</w:t>
      </w:r>
      <w:r w:rsidR="00034D51">
        <w:rPr>
          <w:rFonts w:ascii="Arial" w:eastAsia="Times New Roman" w:hAnsi="Arial" w:cs="Arial"/>
        </w:rPr>
        <w:t xml:space="preserve"> </w:t>
      </w:r>
      <w:r w:rsidR="007E34AB">
        <w:rPr>
          <w:rFonts w:ascii="Arial" w:eastAsia="Times New Roman" w:hAnsi="Arial" w:cs="Arial"/>
        </w:rPr>
        <w:t>ratifi</w:t>
      </w:r>
      <w:r w:rsidR="00034D51">
        <w:rPr>
          <w:rFonts w:ascii="Arial" w:eastAsia="Times New Roman" w:hAnsi="Arial" w:cs="Arial"/>
        </w:rPr>
        <w:t>ée par l’Union européenne et une cinquantaine d’états</w:t>
      </w:r>
      <w:r w:rsidR="007E34AB">
        <w:rPr>
          <w:rFonts w:ascii="Arial" w:eastAsia="Times New Roman" w:hAnsi="Arial" w:cs="Arial"/>
        </w:rPr>
        <w:t>, mais pas le Canada</w:t>
      </w:r>
      <w:r w:rsidR="00034D51">
        <w:rPr>
          <w:rFonts w:ascii="Arial" w:eastAsia="Times New Roman" w:hAnsi="Arial" w:cs="Arial"/>
        </w:rPr>
        <w:t xml:space="preserve">. L’idée centrale de cette convention est </w:t>
      </w:r>
      <w:r w:rsidR="00034D51" w:rsidRPr="00FB650C">
        <w:rPr>
          <w:rFonts w:ascii="Arial" w:hAnsi="Arial" w:cs="Arial"/>
          <w:i/>
        </w:rPr>
        <w:t xml:space="preserve">que </w:t>
      </w:r>
      <w:r w:rsidR="00034D51" w:rsidRPr="00034D51">
        <w:rPr>
          <w:rFonts w:ascii="Arial" w:hAnsi="Arial" w:cs="Arial"/>
        </w:rPr>
        <w:t>l’information sur l’environnement doit être mise à la disposition du public</w:t>
      </w:r>
      <w:r w:rsidR="00034D51" w:rsidRPr="00FB650C">
        <w:rPr>
          <w:rFonts w:ascii="Arial" w:hAnsi="Arial" w:cs="Arial"/>
          <w:i/>
        </w:rPr>
        <w:t xml:space="preserve"> </w:t>
      </w:r>
      <w:r w:rsidR="00EB7D2B">
        <w:rPr>
          <w:rFonts w:ascii="Arial" w:hAnsi="Arial" w:cs="Arial"/>
          <w:i/>
        </w:rPr>
        <w:t>« </w:t>
      </w:r>
      <w:r w:rsidR="00034D51" w:rsidRPr="00FB650C">
        <w:rPr>
          <w:rFonts w:ascii="Arial" w:hAnsi="Arial" w:cs="Arial"/>
          <w:i/>
        </w:rPr>
        <w:t>sans que le public ait à faire valoir un intérêt particulier</w:t>
      </w:r>
      <w:r w:rsidR="00EB7D2B">
        <w:rPr>
          <w:rFonts w:ascii="Arial" w:hAnsi="Arial" w:cs="Arial"/>
          <w:i/>
        </w:rPr>
        <w:t> »</w:t>
      </w:r>
      <w:r w:rsidR="00034D51">
        <w:rPr>
          <w:rFonts w:ascii="Arial" w:hAnsi="Arial" w:cs="Arial"/>
        </w:rPr>
        <w:t>.</w:t>
      </w:r>
    </w:p>
    <w:p w14:paraId="5505201C" w14:textId="77777777" w:rsidR="00034D51" w:rsidRDefault="00034D51" w:rsidP="00DB71C4">
      <w:pPr>
        <w:jc w:val="both"/>
        <w:rPr>
          <w:rFonts w:ascii="Arial" w:hAnsi="Arial" w:cs="Arial"/>
        </w:rPr>
      </w:pPr>
    </w:p>
    <w:p w14:paraId="507772CE" w14:textId="77777777" w:rsidR="00034D51" w:rsidRDefault="00034D51" w:rsidP="00034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tel texte dans la constitution du Québec empêcherait désormais, entre autres, que l’on taise ce qu’il y a dans l’eau que l’on boit ou les produits chimiques auxquels nous sommes exposés. Je terminerai avec une citation de la Convention d’Aarhus, qui me semble très explicite :</w:t>
      </w:r>
    </w:p>
    <w:p w14:paraId="6530B727" w14:textId="77777777" w:rsidR="00034D51" w:rsidRDefault="00034D51" w:rsidP="00034D51">
      <w:pPr>
        <w:jc w:val="both"/>
        <w:rPr>
          <w:rFonts w:ascii="Arial" w:hAnsi="Arial" w:cs="Arial"/>
        </w:rPr>
      </w:pPr>
    </w:p>
    <w:p w14:paraId="78B76CEB" w14:textId="2DF7B6F0" w:rsidR="00034D51" w:rsidRPr="004F2251" w:rsidRDefault="00EB7D2B" w:rsidP="00034D51">
      <w:pPr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>« </w:t>
      </w:r>
      <w:r w:rsidR="00034D51" w:rsidRPr="004F2251">
        <w:rPr>
          <w:rFonts w:ascii="Arial" w:eastAsia="Times New Roman" w:hAnsi="Arial" w:cs="Arial"/>
          <w:i/>
        </w:rPr>
        <w:t>3. L</w:t>
      </w:r>
      <w:r w:rsidR="0082228B">
        <w:rPr>
          <w:rFonts w:ascii="Arial" w:eastAsia="Times New Roman" w:hAnsi="Arial" w:cs="Arial"/>
          <w:i/>
        </w:rPr>
        <w:t>’</w:t>
      </w:r>
      <w:r w:rsidR="00034D51" w:rsidRPr="004F2251">
        <w:rPr>
          <w:rFonts w:ascii="Arial" w:eastAsia="Times New Roman" w:hAnsi="Arial" w:cs="Arial"/>
          <w:i/>
        </w:rPr>
        <w:t xml:space="preserve">expression </w:t>
      </w:r>
      <w:r>
        <w:rPr>
          <w:rFonts w:ascii="Arial" w:eastAsia="Times New Roman" w:hAnsi="Arial" w:cs="Arial"/>
          <w:i/>
        </w:rPr>
        <w:t>“</w:t>
      </w:r>
      <w:r w:rsidR="00034D51" w:rsidRPr="004F2251">
        <w:rPr>
          <w:rFonts w:ascii="Arial" w:eastAsia="Times New Roman" w:hAnsi="Arial" w:cs="Arial"/>
          <w:i/>
        </w:rPr>
        <w:t>information(s) sur l</w:t>
      </w:r>
      <w:r w:rsidR="0082228B">
        <w:rPr>
          <w:rFonts w:ascii="Arial" w:eastAsia="Times New Roman" w:hAnsi="Arial" w:cs="Arial"/>
          <w:i/>
        </w:rPr>
        <w:t>’</w:t>
      </w:r>
      <w:r w:rsidR="00034D51" w:rsidRPr="004F2251">
        <w:rPr>
          <w:rFonts w:ascii="Arial" w:eastAsia="Times New Roman" w:hAnsi="Arial" w:cs="Arial"/>
          <w:i/>
        </w:rPr>
        <w:t>environnement</w:t>
      </w:r>
      <w:r>
        <w:rPr>
          <w:rFonts w:ascii="Arial" w:eastAsia="Times New Roman" w:hAnsi="Arial" w:cs="Arial"/>
          <w:i/>
        </w:rPr>
        <w:t>”</w:t>
      </w:r>
      <w:r w:rsidR="00034D51" w:rsidRPr="004F2251">
        <w:rPr>
          <w:rFonts w:ascii="Arial" w:eastAsia="Times New Roman" w:hAnsi="Arial" w:cs="Arial"/>
          <w:i/>
        </w:rPr>
        <w:t xml:space="preserve"> désigne toute information disponible sous forme écrite, visuelle, orale ou électronique ou sous toute autre forme matérielle, et portant sur</w:t>
      </w:r>
      <w:r w:rsidR="0082228B">
        <w:rPr>
          <w:rFonts w:ascii="Arial" w:eastAsia="Times New Roman" w:hAnsi="Arial" w:cs="Arial"/>
          <w:i/>
        </w:rPr>
        <w:t> </w:t>
      </w:r>
      <w:r w:rsidR="00034D51" w:rsidRPr="004F2251">
        <w:rPr>
          <w:rFonts w:ascii="Arial" w:eastAsia="Times New Roman" w:hAnsi="Arial" w:cs="Arial"/>
          <w:i/>
        </w:rPr>
        <w:t xml:space="preserve">: </w:t>
      </w:r>
    </w:p>
    <w:p w14:paraId="2FDA7D3E" w14:textId="0B5E1D10" w:rsidR="00034D51" w:rsidRPr="004F2251" w:rsidRDefault="00034D51" w:rsidP="00034D51">
      <w:pPr>
        <w:pStyle w:val="Paragraphedeliste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i/>
        </w:rPr>
      </w:pPr>
      <w:r w:rsidRPr="004F2251">
        <w:rPr>
          <w:rFonts w:ascii="Arial" w:eastAsia="Times New Roman" w:hAnsi="Arial" w:cs="Arial"/>
          <w:i/>
        </w:rPr>
        <w:t>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état d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éléments de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environnement tels que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air et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atmosphère,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eau, le sol, les terres, le paysage et les sites naturels, la diversité biologique et ses composantes, y compris les organismes génétiquement modifiés, et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interaction entre ces éléments</w:t>
      </w:r>
      <w:r w:rsidR="0082228B">
        <w:rPr>
          <w:rFonts w:ascii="Arial" w:eastAsia="Times New Roman" w:hAnsi="Arial" w:cs="Arial"/>
          <w:i/>
        </w:rPr>
        <w:t> </w:t>
      </w:r>
      <w:r w:rsidRPr="004F2251">
        <w:rPr>
          <w:rFonts w:ascii="Arial" w:eastAsia="Times New Roman" w:hAnsi="Arial" w:cs="Arial"/>
          <w:i/>
        </w:rPr>
        <w:t xml:space="preserve">; </w:t>
      </w:r>
    </w:p>
    <w:p w14:paraId="6C036F64" w14:textId="348DA2D0" w:rsidR="00034D51" w:rsidRPr="004F2251" w:rsidRDefault="00034D51" w:rsidP="00034D51">
      <w:pPr>
        <w:pStyle w:val="Paragraphedeliste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i/>
        </w:rPr>
      </w:pPr>
      <w:r w:rsidRPr="004F2251">
        <w:rPr>
          <w:rFonts w:ascii="Arial" w:eastAsia="Times New Roman" w:hAnsi="Arial" w:cs="Arial"/>
          <w:i/>
        </w:rPr>
        <w:t>Des facteurs tels que les substances,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énergie, le bruit et les rayonnements et des activités ou mesures, y compris des mesures administratives, des accords relatifs à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environnement, des politiques,</w:t>
      </w:r>
      <w:r>
        <w:rPr>
          <w:rFonts w:ascii="Arial" w:eastAsia="Times New Roman" w:hAnsi="Arial" w:cs="Arial"/>
          <w:i/>
        </w:rPr>
        <w:t xml:space="preserve"> </w:t>
      </w:r>
      <w:r w:rsidRPr="004F2251">
        <w:rPr>
          <w:rFonts w:ascii="Arial" w:eastAsia="Times New Roman" w:hAnsi="Arial" w:cs="Arial"/>
          <w:i/>
        </w:rPr>
        <w:t>lois, plans et programmes qui ont, ou risquent d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avoir, des incidences sur les éléments de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environnement relevant de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alinéa a) ci-dessus et l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analyse coût-avantages et les autres analyses et hypothèses économiques utilisées dans le processus décisionnel en matière d</w:t>
      </w:r>
      <w:r w:rsidR="0082228B">
        <w:rPr>
          <w:rFonts w:ascii="Arial" w:eastAsia="Times New Roman" w:hAnsi="Arial" w:cs="Arial"/>
          <w:i/>
        </w:rPr>
        <w:t>’</w:t>
      </w:r>
      <w:r w:rsidRPr="004F2251">
        <w:rPr>
          <w:rFonts w:ascii="Arial" w:eastAsia="Times New Roman" w:hAnsi="Arial" w:cs="Arial"/>
          <w:i/>
        </w:rPr>
        <w:t>environnement</w:t>
      </w:r>
      <w:r w:rsidR="0082228B">
        <w:rPr>
          <w:rFonts w:ascii="Arial" w:eastAsia="Times New Roman" w:hAnsi="Arial" w:cs="Arial"/>
          <w:i/>
        </w:rPr>
        <w:t> </w:t>
      </w:r>
      <w:r w:rsidRPr="004F2251">
        <w:rPr>
          <w:rFonts w:ascii="Arial" w:eastAsia="Times New Roman" w:hAnsi="Arial" w:cs="Arial"/>
          <w:i/>
        </w:rPr>
        <w:t xml:space="preserve">; </w:t>
      </w:r>
    </w:p>
    <w:p w14:paraId="5AD52E30" w14:textId="7C80BEA9" w:rsidR="00034D51" w:rsidRPr="004F2251" w:rsidRDefault="00034D51" w:rsidP="007E34AB">
      <w:pPr>
        <w:pStyle w:val="Paragraphedeliste"/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</w:rPr>
      </w:pPr>
      <w:r w:rsidRPr="007E34AB">
        <w:rPr>
          <w:rFonts w:ascii="Arial" w:eastAsia="Times New Roman" w:hAnsi="Arial" w:cs="Arial"/>
          <w:i/>
        </w:rPr>
        <w:t>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état de santé de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homme, sa sécurité et ses conditions de vie ainsi que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état des sites culturels et des constructions dans la mesure où ils sont, ou risquent d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être, altérés par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état des éléments de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environnement ou, par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intermédiaire de ces éléments, par les facteurs, activités ou mesures visés à l</w:t>
      </w:r>
      <w:r w:rsidR="0082228B" w:rsidRPr="007E34AB">
        <w:rPr>
          <w:rFonts w:ascii="Arial" w:eastAsia="Times New Roman" w:hAnsi="Arial" w:cs="Arial"/>
          <w:i/>
        </w:rPr>
        <w:t>’</w:t>
      </w:r>
      <w:r w:rsidRPr="007E34AB">
        <w:rPr>
          <w:rFonts w:ascii="Arial" w:eastAsia="Times New Roman" w:hAnsi="Arial" w:cs="Arial"/>
          <w:i/>
        </w:rPr>
        <w:t>alinéa b) ci-dessus.</w:t>
      </w:r>
      <w:r w:rsidR="00EB7D2B">
        <w:rPr>
          <w:rFonts w:ascii="Arial" w:eastAsia="Times New Roman" w:hAnsi="Arial" w:cs="Arial"/>
        </w:rPr>
        <w:t> »</w:t>
      </w:r>
    </w:p>
    <w:sectPr w:rsidR="00034D51" w:rsidRPr="004F2251" w:rsidSect="0089593F">
      <w:headerReference w:type="even" r:id="rId15"/>
      <w:head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76AE" w14:textId="77777777" w:rsidR="00D33284" w:rsidRDefault="00D33284" w:rsidP="00D82C64">
      <w:r>
        <w:separator/>
      </w:r>
    </w:p>
  </w:endnote>
  <w:endnote w:type="continuationSeparator" w:id="0">
    <w:p w14:paraId="23A837BE" w14:textId="77777777" w:rsidR="00D33284" w:rsidRDefault="00D33284" w:rsidP="00D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AB7F" w14:textId="77777777" w:rsidR="00D33284" w:rsidRDefault="00D33284" w:rsidP="00D82C64">
      <w:r>
        <w:separator/>
      </w:r>
    </w:p>
  </w:footnote>
  <w:footnote w:type="continuationSeparator" w:id="0">
    <w:p w14:paraId="2532D477" w14:textId="77777777" w:rsidR="00D33284" w:rsidRDefault="00D33284" w:rsidP="00D82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A669" w14:textId="77777777" w:rsidR="00D33284" w:rsidRDefault="00D33284" w:rsidP="00D82C6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602C41" w14:textId="77777777" w:rsidR="00D33284" w:rsidRDefault="00D33284" w:rsidP="00D82C64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002B" w14:textId="77777777" w:rsidR="00D33284" w:rsidRDefault="00D33284" w:rsidP="00D82C6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6E6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C59D4A" w14:textId="77777777" w:rsidR="00D33284" w:rsidRDefault="00D33284" w:rsidP="00D82C6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246"/>
    <w:multiLevelType w:val="hybridMultilevel"/>
    <w:tmpl w:val="31723DAC"/>
    <w:lvl w:ilvl="0" w:tplc="75B288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05"/>
    <w:rsid w:val="0002667E"/>
    <w:rsid w:val="00034D51"/>
    <w:rsid w:val="00045697"/>
    <w:rsid w:val="00193C4A"/>
    <w:rsid w:val="001B3971"/>
    <w:rsid w:val="001C718A"/>
    <w:rsid w:val="001F7E68"/>
    <w:rsid w:val="00231637"/>
    <w:rsid w:val="002B6E6A"/>
    <w:rsid w:val="002C35D9"/>
    <w:rsid w:val="00357435"/>
    <w:rsid w:val="00372D44"/>
    <w:rsid w:val="00375DE4"/>
    <w:rsid w:val="003E5048"/>
    <w:rsid w:val="00402737"/>
    <w:rsid w:val="00435605"/>
    <w:rsid w:val="00546546"/>
    <w:rsid w:val="005726A2"/>
    <w:rsid w:val="005B2E64"/>
    <w:rsid w:val="00662E2D"/>
    <w:rsid w:val="006971C0"/>
    <w:rsid w:val="006B3B68"/>
    <w:rsid w:val="006B6BEA"/>
    <w:rsid w:val="00704F22"/>
    <w:rsid w:val="00706707"/>
    <w:rsid w:val="0071150C"/>
    <w:rsid w:val="007B57D8"/>
    <w:rsid w:val="007C761F"/>
    <w:rsid w:val="007E34AB"/>
    <w:rsid w:val="0082228B"/>
    <w:rsid w:val="0089593F"/>
    <w:rsid w:val="008A1EE0"/>
    <w:rsid w:val="008F42B8"/>
    <w:rsid w:val="0091120E"/>
    <w:rsid w:val="00953447"/>
    <w:rsid w:val="00A716F2"/>
    <w:rsid w:val="00A71DA2"/>
    <w:rsid w:val="00BF5256"/>
    <w:rsid w:val="00C2623F"/>
    <w:rsid w:val="00C973B7"/>
    <w:rsid w:val="00CC75B9"/>
    <w:rsid w:val="00D33284"/>
    <w:rsid w:val="00D82C64"/>
    <w:rsid w:val="00D8577A"/>
    <w:rsid w:val="00DA5F29"/>
    <w:rsid w:val="00DB71C4"/>
    <w:rsid w:val="00E34062"/>
    <w:rsid w:val="00EB7D2B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C7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6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4D51"/>
    <w:pPr>
      <w:widowControl w:val="0"/>
      <w:suppressAutoHyphens/>
      <w:ind w:left="720"/>
      <w:contextualSpacing/>
    </w:pPr>
    <w:rPr>
      <w:rFonts w:ascii="Liberation Serif" w:eastAsia="Droid Sans Fallback" w:hAnsi="Liberation Serif" w:cs="FreeSans"/>
      <w:kern w:val="1"/>
      <w:lang w:val="fr-CA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D82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C64"/>
  </w:style>
  <w:style w:type="character" w:styleId="Numrodepage">
    <w:name w:val="page number"/>
    <w:basedOn w:val="Policepardfaut"/>
    <w:uiPriority w:val="99"/>
    <w:semiHidden/>
    <w:unhideWhenUsed/>
    <w:rsid w:val="00D82C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6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4D51"/>
    <w:pPr>
      <w:widowControl w:val="0"/>
      <w:suppressAutoHyphens/>
      <w:ind w:left="720"/>
      <w:contextualSpacing/>
    </w:pPr>
    <w:rPr>
      <w:rFonts w:ascii="Liberation Serif" w:eastAsia="Droid Sans Fallback" w:hAnsi="Liberation Serif" w:cs="FreeSans"/>
      <w:kern w:val="1"/>
      <w:lang w:val="fr-CA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D82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C64"/>
  </w:style>
  <w:style w:type="character" w:styleId="Numrodepage">
    <w:name w:val="page number"/>
    <w:basedOn w:val="Policepardfaut"/>
    <w:uiPriority w:val="99"/>
    <w:semiHidden/>
    <w:unhideWhenUsed/>
    <w:rsid w:val="00D8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Droit_%C3%A0_l%27information" TargetMode="External"/><Relationship Id="rId12" Type="http://schemas.openxmlformats.org/officeDocument/2006/relationships/hyperlink" Target="https://fr.wikipedia.org/wiki/Participation_(politique)" TargetMode="External"/><Relationship Id="rId13" Type="http://schemas.openxmlformats.org/officeDocument/2006/relationships/hyperlink" Target="https://fr.wikipedia.org/wiki/D%C3%A9cision" TargetMode="External"/><Relationship Id="rId14" Type="http://schemas.openxmlformats.org/officeDocument/2006/relationships/hyperlink" Target="https://fr.wikipedia.org/wiki/Environnement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aunet@hotmail.fr" TargetMode="External"/><Relationship Id="rId9" Type="http://schemas.openxmlformats.org/officeDocument/2006/relationships/hyperlink" Target="http://www.law-democracy.org/live/wp-content/uploads/2015/08/Canada.Quebec.RTI_.Aug15.pdf" TargetMode="External"/><Relationship Id="rId10" Type="http://schemas.openxmlformats.org/officeDocument/2006/relationships/hyperlink" Target="https://fr.wikipedia.org/wiki/Aarhu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1391</Words>
  <Characters>7655</Characters>
  <Application>Microsoft Macintosh Word</Application>
  <DocSecurity>0</DocSecurity>
  <Lines>63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Raunet</dc:creator>
  <cp:keywords/>
  <dc:description/>
  <cp:lastModifiedBy>Daniel Raunet</cp:lastModifiedBy>
  <cp:revision>25</cp:revision>
  <dcterms:created xsi:type="dcterms:W3CDTF">2018-12-21T19:21:00Z</dcterms:created>
  <dcterms:modified xsi:type="dcterms:W3CDTF">2018-12-24T18:32:00Z</dcterms:modified>
</cp:coreProperties>
</file>